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F808" w14:textId="77777777" w:rsidR="00AC6CD1" w:rsidRPr="00AC6CD1" w:rsidRDefault="00AC6CD1" w:rsidP="004235BC">
      <w:pPr>
        <w:pStyle w:val="Style1"/>
        <w:spacing w:after="120" w:line="276" w:lineRule="auto"/>
        <w:rPr>
          <w:rFonts w:ascii="Century Gothic" w:hAnsi="Century Gothic" w:cstheme="minorHAnsi"/>
          <w:b/>
          <w:sz w:val="32"/>
          <w:szCs w:val="28"/>
        </w:rPr>
      </w:pPr>
      <w:r w:rsidRPr="00AC6CD1">
        <w:rPr>
          <w:rFonts w:ascii="Century Gothic" w:hAnsi="Century Gothic" w:cstheme="minorHAnsi"/>
          <w:b/>
          <w:sz w:val="32"/>
          <w:szCs w:val="28"/>
        </w:rPr>
        <w:t xml:space="preserve">Vendor/supplier </w:t>
      </w:r>
      <w:r w:rsidR="004235BC" w:rsidRPr="00AC6CD1">
        <w:rPr>
          <w:rFonts w:ascii="Century Gothic" w:hAnsi="Century Gothic" w:cstheme="minorHAnsi"/>
          <w:b/>
          <w:sz w:val="32"/>
          <w:szCs w:val="28"/>
        </w:rPr>
        <w:t>GST withholding notice</w:t>
      </w:r>
    </w:p>
    <w:p w14:paraId="68127EB4" w14:textId="391ED1F3" w:rsidR="004235BC" w:rsidRPr="00AC6CD1" w:rsidRDefault="00176D45" w:rsidP="004235BC">
      <w:pPr>
        <w:pStyle w:val="Style1"/>
        <w:spacing w:after="120" w:line="276" w:lineRule="auto"/>
        <w:rPr>
          <w:rFonts w:ascii="Century Gothic" w:hAnsi="Century Gothic" w:cstheme="minorHAnsi"/>
          <w:b/>
          <w:sz w:val="22"/>
        </w:rPr>
      </w:pPr>
      <w:r w:rsidRPr="00AC6CD1">
        <w:rPr>
          <w:rFonts w:ascii="Century Gothic" w:hAnsi="Century Gothic" w:cstheme="minorHAnsi"/>
          <w:b/>
          <w:sz w:val="22"/>
        </w:rPr>
        <w:t>Pursuant to s</w:t>
      </w:r>
      <w:r w:rsidR="004235BC" w:rsidRPr="00AC6CD1">
        <w:rPr>
          <w:rFonts w:ascii="Century Gothic" w:hAnsi="Century Gothic" w:cstheme="minorHAnsi"/>
          <w:b/>
          <w:sz w:val="22"/>
        </w:rPr>
        <w:t>ection 14-25</w:t>
      </w:r>
      <w:r w:rsidR="00222070" w:rsidRPr="00AC6CD1">
        <w:rPr>
          <w:rFonts w:ascii="Century Gothic" w:hAnsi="Century Gothic" w:cstheme="minorHAnsi"/>
          <w:b/>
          <w:sz w:val="22"/>
        </w:rPr>
        <w:t>5</w:t>
      </w:r>
      <w:r w:rsidR="004235BC" w:rsidRPr="00AC6CD1">
        <w:rPr>
          <w:rFonts w:ascii="Century Gothic" w:hAnsi="Century Gothic" w:cstheme="minorHAnsi"/>
          <w:b/>
          <w:sz w:val="22"/>
        </w:rPr>
        <w:t xml:space="preserve"> Schedule 1 </w:t>
      </w:r>
      <w:r w:rsidR="004235BC" w:rsidRPr="00AC6CD1">
        <w:rPr>
          <w:rFonts w:ascii="Century Gothic" w:hAnsi="Century Gothic" w:cstheme="minorHAnsi"/>
          <w:b/>
          <w:i/>
          <w:sz w:val="22"/>
        </w:rPr>
        <w:t>Taxation Administration Act 1953</w:t>
      </w:r>
      <w:r w:rsidR="004235BC" w:rsidRPr="00AC6CD1">
        <w:rPr>
          <w:rFonts w:ascii="Century Gothic" w:hAnsi="Century Gothic" w:cstheme="minorHAnsi"/>
          <w:b/>
          <w:sz w:val="22"/>
        </w:rPr>
        <w:t xml:space="preserve"> (Cwlth) </w:t>
      </w:r>
    </w:p>
    <w:p w14:paraId="2893A6DE" w14:textId="77777777" w:rsidR="0044695D" w:rsidRPr="00AC6CD1" w:rsidRDefault="0044695D" w:rsidP="0044695D">
      <w:pPr>
        <w:spacing w:after="120" w:line="276" w:lineRule="auto"/>
        <w:rPr>
          <w:rFonts w:ascii="Century Gothic" w:hAnsi="Century Gothic" w:cstheme="minorHAnsi"/>
          <w:b/>
        </w:rPr>
      </w:pPr>
      <w:r w:rsidRPr="00AC6CD1">
        <w:rPr>
          <w:rFonts w:ascii="Century Gothic" w:hAnsi="Century Gothic" w:cstheme="minorHAnsi"/>
          <w:b/>
        </w:rPr>
        <w:t>To:</w:t>
      </w:r>
    </w:p>
    <w:p w14:paraId="43756691" w14:textId="2FA0BA92" w:rsidR="0044695D" w:rsidRPr="00AC6CD1" w:rsidRDefault="0044695D" w:rsidP="0044695D">
      <w:pPr>
        <w:spacing w:after="120" w:line="276" w:lineRule="auto"/>
        <w:rPr>
          <w:rFonts w:ascii="Century Gothic" w:eastAsia="Times New Roman" w:hAnsi="Century Gothic" w:cstheme="minorHAnsi"/>
          <w:color w:val="000000"/>
          <w:sz w:val="22"/>
          <w:lang w:val="en-AU" w:eastAsia="en-AU"/>
        </w:rPr>
      </w:pPr>
      <w:r w:rsidRPr="00AC6CD1">
        <w:rPr>
          <w:rFonts w:ascii="Century Gothic" w:eastAsia="Times New Roman" w:hAnsi="Century Gothic" w:cstheme="minorHAnsi"/>
          <w:color w:val="000000"/>
          <w:sz w:val="22"/>
          <w:lang w:val="en-AU" w:eastAsia="en-AU"/>
        </w:rPr>
        <w:t>Purchaser</w:t>
      </w:r>
      <w:r w:rsidR="00A25B7B" w:rsidRPr="00AC6CD1">
        <w:rPr>
          <w:rFonts w:ascii="Century Gothic" w:eastAsia="Times New Roman" w:hAnsi="Century Gothic" w:cstheme="minorHAnsi"/>
          <w:color w:val="000000"/>
          <w:sz w:val="22"/>
          <w:lang w:val="en-AU" w:eastAsia="en-AU"/>
        </w:rPr>
        <w:t>/recipient</w:t>
      </w:r>
      <w:r w:rsidRPr="00AC6CD1">
        <w:rPr>
          <w:rFonts w:ascii="Century Gothic" w:eastAsia="Times New Roman" w:hAnsi="Century Gothic" w:cstheme="minorHAnsi"/>
          <w:color w:val="000000"/>
          <w:sz w:val="22"/>
          <w:lang w:val="en-AU" w:eastAsia="en-AU"/>
        </w:rPr>
        <w:t>: ___________________________________________</w:t>
      </w:r>
    </w:p>
    <w:p w14:paraId="09ECB34D" w14:textId="77777777" w:rsidR="004235BC" w:rsidRPr="00AC6CD1" w:rsidRDefault="004235BC" w:rsidP="004235BC">
      <w:pPr>
        <w:pStyle w:val="Style1"/>
        <w:spacing w:after="120" w:line="276" w:lineRule="auto"/>
        <w:rPr>
          <w:rFonts w:ascii="Century Gothic" w:hAnsi="Century Gothic" w:cstheme="minorHAnsi"/>
          <w:b/>
          <w:szCs w:val="28"/>
        </w:rPr>
      </w:pPr>
    </w:p>
    <w:p w14:paraId="58A756A8" w14:textId="77777777" w:rsidR="004235BC" w:rsidRPr="00AC6CD1" w:rsidRDefault="004235BC" w:rsidP="0027327B">
      <w:pPr>
        <w:pStyle w:val="Style1"/>
        <w:tabs>
          <w:tab w:val="left" w:pos="2268"/>
        </w:tabs>
        <w:spacing w:after="120" w:line="276" w:lineRule="auto"/>
        <w:rPr>
          <w:rFonts w:ascii="Century Gothic" w:hAnsi="Century Gothic" w:cstheme="minorHAnsi"/>
          <w:szCs w:val="28"/>
        </w:rPr>
      </w:pPr>
      <w:r w:rsidRPr="00AC6CD1">
        <w:rPr>
          <w:rFonts w:ascii="Century Gothic" w:hAnsi="Century Gothic" w:cstheme="minorHAnsi"/>
          <w:b/>
          <w:szCs w:val="28"/>
        </w:rPr>
        <w:t>Property address:</w:t>
      </w:r>
      <w:r w:rsidR="0027327B" w:rsidRPr="00AC6CD1">
        <w:rPr>
          <w:rFonts w:ascii="Century Gothic" w:hAnsi="Century Gothic" w:cstheme="minorHAnsi"/>
          <w:b/>
          <w:szCs w:val="28"/>
        </w:rPr>
        <w:t xml:space="preserve"> </w:t>
      </w:r>
      <w:r w:rsidR="0027327B" w:rsidRPr="00AC6CD1">
        <w:rPr>
          <w:rFonts w:ascii="Century Gothic" w:hAnsi="Century Gothic" w:cstheme="minorHAnsi"/>
          <w:b/>
          <w:szCs w:val="28"/>
        </w:rPr>
        <w:softHyphen/>
      </w:r>
      <w:r w:rsidR="0027327B" w:rsidRPr="00AC6CD1">
        <w:rPr>
          <w:rFonts w:ascii="Century Gothic" w:hAnsi="Century Gothic" w:cstheme="minorHAnsi"/>
          <w:b/>
          <w:szCs w:val="28"/>
        </w:rPr>
        <w:softHyphen/>
      </w:r>
      <w:r w:rsidR="0027327B" w:rsidRPr="00AC6CD1">
        <w:rPr>
          <w:rFonts w:ascii="Century Gothic" w:hAnsi="Century Gothic" w:cstheme="minorHAnsi"/>
          <w:b/>
          <w:szCs w:val="28"/>
        </w:rPr>
        <w:softHyphen/>
      </w:r>
      <w:r w:rsidR="0027327B" w:rsidRPr="00AC6CD1">
        <w:rPr>
          <w:rFonts w:ascii="Century Gothic" w:hAnsi="Century Gothic" w:cstheme="minorHAnsi"/>
          <w:b/>
          <w:szCs w:val="28"/>
        </w:rPr>
        <w:softHyphen/>
      </w:r>
      <w:r w:rsidR="0027327B" w:rsidRPr="00AC6CD1">
        <w:rPr>
          <w:rFonts w:ascii="Century Gothic" w:hAnsi="Century Gothic" w:cstheme="minorHAnsi"/>
          <w:b/>
          <w:szCs w:val="28"/>
        </w:rPr>
        <w:softHyphen/>
      </w:r>
      <w:r w:rsidR="0027327B" w:rsidRPr="00AC6CD1">
        <w:rPr>
          <w:rFonts w:ascii="Century Gothic" w:hAnsi="Century Gothic" w:cstheme="minorHAnsi"/>
          <w:b/>
          <w:szCs w:val="28"/>
        </w:rPr>
        <w:softHyphen/>
      </w:r>
      <w:r w:rsidR="0027327B" w:rsidRPr="00AC6CD1">
        <w:rPr>
          <w:rFonts w:ascii="Century Gothic" w:hAnsi="Century Gothic" w:cstheme="minorHAnsi"/>
          <w:b/>
          <w:szCs w:val="28"/>
        </w:rPr>
        <w:softHyphen/>
      </w:r>
      <w:r w:rsidR="0027327B" w:rsidRPr="00AC6CD1">
        <w:rPr>
          <w:rFonts w:ascii="Century Gothic" w:hAnsi="Century Gothic" w:cstheme="minorHAnsi"/>
          <w:b/>
          <w:szCs w:val="28"/>
        </w:rPr>
        <w:softHyphen/>
      </w:r>
      <w:r w:rsidR="0027327B" w:rsidRPr="00AC6CD1">
        <w:rPr>
          <w:rFonts w:ascii="Century Gothic" w:hAnsi="Century Gothic" w:cstheme="minorHAnsi"/>
          <w:b/>
          <w:szCs w:val="28"/>
        </w:rPr>
        <w:softHyphen/>
      </w:r>
      <w:r w:rsidR="0027327B" w:rsidRPr="00AC6CD1">
        <w:rPr>
          <w:rFonts w:ascii="Century Gothic" w:hAnsi="Century Gothic" w:cstheme="minorHAnsi"/>
          <w:b/>
          <w:szCs w:val="28"/>
        </w:rPr>
        <w:softHyphen/>
      </w:r>
      <w:r w:rsidR="0027327B" w:rsidRPr="00AC6CD1">
        <w:rPr>
          <w:rFonts w:ascii="Century Gothic" w:hAnsi="Century Gothic" w:cstheme="minorHAnsi"/>
          <w:b/>
          <w:szCs w:val="28"/>
        </w:rPr>
        <w:softHyphen/>
      </w:r>
      <w:r w:rsidR="0027327B" w:rsidRPr="00AC6CD1">
        <w:rPr>
          <w:rFonts w:ascii="Century Gothic" w:hAnsi="Century Gothic" w:cstheme="minorHAnsi"/>
          <w:b/>
          <w:szCs w:val="28"/>
        </w:rPr>
        <w:softHyphen/>
      </w:r>
      <w:r w:rsidR="0027327B" w:rsidRPr="00AC6CD1">
        <w:rPr>
          <w:rFonts w:ascii="Century Gothic" w:hAnsi="Century Gothic" w:cstheme="minorHAnsi"/>
          <w:b/>
          <w:szCs w:val="28"/>
        </w:rPr>
        <w:softHyphen/>
      </w:r>
      <w:r w:rsidR="0027327B" w:rsidRPr="00AC6CD1">
        <w:rPr>
          <w:rFonts w:ascii="Century Gothic" w:hAnsi="Century Gothic" w:cstheme="minorHAnsi"/>
          <w:b/>
          <w:szCs w:val="28"/>
        </w:rPr>
        <w:softHyphen/>
      </w:r>
      <w:r w:rsidR="0027327B" w:rsidRPr="00AC6CD1">
        <w:rPr>
          <w:rFonts w:ascii="Century Gothic" w:hAnsi="Century Gothic" w:cstheme="minorHAnsi"/>
          <w:b/>
          <w:szCs w:val="28"/>
        </w:rPr>
        <w:softHyphen/>
      </w:r>
      <w:r w:rsidR="0027327B" w:rsidRPr="00AC6CD1">
        <w:rPr>
          <w:rFonts w:ascii="Century Gothic" w:hAnsi="Century Gothic" w:cstheme="minorHAnsi"/>
          <w:b/>
          <w:szCs w:val="28"/>
        </w:rPr>
        <w:softHyphen/>
      </w:r>
      <w:r w:rsidR="0027327B" w:rsidRPr="00AC6CD1">
        <w:rPr>
          <w:rFonts w:ascii="Century Gothic" w:hAnsi="Century Gothic" w:cstheme="minorHAnsi"/>
          <w:b/>
          <w:szCs w:val="28"/>
        </w:rPr>
        <w:softHyphen/>
      </w:r>
      <w:r w:rsidR="0027327B" w:rsidRPr="00AC6CD1">
        <w:rPr>
          <w:rFonts w:ascii="Century Gothic" w:hAnsi="Century Gothic" w:cstheme="minorHAnsi"/>
          <w:b/>
          <w:szCs w:val="28"/>
        </w:rPr>
        <w:softHyphen/>
      </w:r>
      <w:r w:rsidR="0027327B" w:rsidRPr="00AC6CD1">
        <w:rPr>
          <w:rFonts w:ascii="Century Gothic" w:hAnsi="Century Gothic" w:cstheme="minorHAnsi"/>
          <w:b/>
          <w:szCs w:val="28"/>
        </w:rPr>
        <w:softHyphen/>
      </w:r>
      <w:r w:rsidR="0027327B" w:rsidRPr="00AC6CD1">
        <w:rPr>
          <w:rFonts w:ascii="Century Gothic" w:hAnsi="Century Gothic" w:cstheme="minorHAnsi"/>
          <w:b/>
          <w:szCs w:val="28"/>
        </w:rPr>
        <w:softHyphen/>
      </w:r>
      <w:r w:rsidR="0027327B" w:rsidRPr="00AC6CD1">
        <w:rPr>
          <w:rFonts w:ascii="Century Gothic" w:hAnsi="Century Gothic" w:cstheme="minorHAnsi"/>
          <w:b/>
          <w:szCs w:val="28"/>
        </w:rPr>
        <w:softHyphen/>
      </w:r>
      <w:r w:rsidR="0027327B" w:rsidRPr="00AC6CD1">
        <w:rPr>
          <w:rFonts w:ascii="Century Gothic" w:hAnsi="Century Gothic" w:cstheme="minorHAnsi"/>
          <w:b/>
          <w:szCs w:val="28"/>
        </w:rPr>
        <w:tab/>
      </w:r>
      <w:r w:rsidR="0027327B" w:rsidRPr="00AC6CD1">
        <w:rPr>
          <w:rFonts w:ascii="Century Gothic" w:hAnsi="Century Gothic" w:cstheme="minorHAnsi"/>
          <w:szCs w:val="28"/>
        </w:rPr>
        <w:t>______________________________</w:t>
      </w:r>
    </w:p>
    <w:p w14:paraId="26B44206" w14:textId="77777777" w:rsidR="0027327B" w:rsidRPr="00AC6CD1" w:rsidRDefault="0027327B" w:rsidP="0027327B">
      <w:pPr>
        <w:pStyle w:val="Style1"/>
        <w:tabs>
          <w:tab w:val="left" w:pos="2268"/>
        </w:tabs>
        <w:spacing w:after="120" w:line="276" w:lineRule="auto"/>
        <w:rPr>
          <w:rFonts w:ascii="Century Gothic" w:hAnsi="Century Gothic" w:cstheme="minorHAnsi"/>
          <w:szCs w:val="28"/>
        </w:rPr>
      </w:pPr>
      <w:r w:rsidRPr="00AC6CD1">
        <w:rPr>
          <w:rFonts w:ascii="Century Gothic" w:hAnsi="Century Gothic" w:cstheme="minorHAnsi"/>
          <w:szCs w:val="28"/>
        </w:rPr>
        <w:tab/>
        <w:t>______________________________</w:t>
      </w:r>
    </w:p>
    <w:p w14:paraId="6C55B598" w14:textId="67299ADB" w:rsidR="0044695D" w:rsidRPr="00AC6CD1" w:rsidRDefault="0044695D" w:rsidP="004235BC">
      <w:pPr>
        <w:pStyle w:val="Style1"/>
        <w:spacing w:after="120" w:line="276" w:lineRule="auto"/>
        <w:rPr>
          <w:rFonts w:ascii="Century Gothic" w:hAnsi="Century Gothic" w:cstheme="minorHAnsi"/>
          <w:szCs w:val="28"/>
        </w:rPr>
      </w:pPr>
      <w:r w:rsidRPr="00AC6CD1">
        <w:rPr>
          <w:rFonts w:ascii="Century Gothic" w:hAnsi="Century Gothic" w:cstheme="minorHAnsi"/>
          <w:b/>
          <w:szCs w:val="28"/>
        </w:rPr>
        <w:t xml:space="preserve">Lot </w:t>
      </w:r>
      <w:proofErr w:type="gramStart"/>
      <w:r w:rsidRPr="00AC6CD1">
        <w:rPr>
          <w:rFonts w:ascii="Century Gothic" w:hAnsi="Century Gothic" w:cstheme="minorHAnsi"/>
          <w:b/>
          <w:szCs w:val="28"/>
        </w:rPr>
        <w:t>no.:</w:t>
      </w:r>
      <w:r w:rsidR="005279ED" w:rsidRPr="00AC6CD1">
        <w:rPr>
          <w:rFonts w:ascii="Century Gothic" w:hAnsi="Century Gothic" w:cstheme="minorHAnsi"/>
          <w:szCs w:val="28"/>
        </w:rPr>
        <w:t>_</w:t>
      </w:r>
      <w:proofErr w:type="gramEnd"/>
      <w:r w:rsidR="005279ED" w:rsidRPr="00AC6CD1">
        <w:rPr>
          <w:rFonts w:ascii="Century Gothic" w:hAnsi="Century Gothic" w:cstheme="minorHAnsi"/>
          <w:szCs w:val="28"/>
        </w:rPr>
        <w:t xml:space="preserve">______        </w:t>
      </w:r>
      <w:r w:rsidRPr="00AC6CD1">
        <w:rPr>
          <w:rFonts w:ascii="Century Gothic" w:hAnsi="Century Gothic" w:cstheme="minorHAnsi"/>
          <w:b/>
          <w:szCs w:val="28"/>
        </w:rPr>
        <w:t>Plan of subdivision:</w:t>
      </w:r>
      <w:r w:rsidR="005279ED" w:rsidRPr="00AC6CD1">
        <w:rPr>
          <w:rFonts w:ascii="Century Gothic" w:hAnsi="Century Gothic" w:cstheme="minorHAnsi"/>
          <w:b/>
          <w:szCs w:val="28"/>
        </w:rPr>
        <w:t xml:space="preserve"> </w:t>
      </w:r>
      <w:r w:rsidR="005279ED" w:rsidRPr="00AC6CD1">
        <w:rPr>
          <w:rFonts w:ascii="Century Gothic" w:hAnsi="Century Gothic" w:cstheme="minorHAnsi"/>
          <w:szCs w:val="28"/>
        </w:rPr>
        <w:t>____________</w:t>
      </w:r>
    </w:p>
    <w:p w14:paraId="2F248B1F" w14:textId="77777777" w:rsidR="004235BC" w:rsidRPr="00AC6CD1" w:rsidRDefault="00176D45" w:rsidP="004235BC">
      <w:pPr>
        <w:rPr>
          <w:rFonts w:ascii="Century Gothic" w:hAnsi="Century Gothic" w:cstheme="minorHAnsi"/>
          <w:i/>
          <w:sz w:val="22"/>
        </w:rPr>
      </w:pPr>
      <w:r w:rsidRPr="00AC6CD1">
        <w:rPr>
          <w:rFonts w:ascii="Century Gothic" w:hAnsi="Century Gothic" w:cstheme="minorHAnsi"/>
          <w:i/>
          <w:sz w:val="22"/>
        </w:rPr>
        <w:t>[Cross out whichever is not applicable]</w:t>
      </w:r>
    </w:p>
    <w:p w14:paraId="27F9E454" w14:textId="77777777" w:rsidR="00176D45" w:rsidRPr="00AC6CD1" w:rsidRDefault="00176D45" w:rsidP="004235BC">
      <w:pPr>
        <w:rPr>
          <w:rFonts w:ascii="Century Gothic" w:eastAsia="Times New Roman" w:hAnsi="Century Gothic" w:cstheme="minorHAnsi"/>
          <w:color w:val="000000"/>
          <w:sz w:val="22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6D45" w:rsidRPr="00AC6CD1" w14:paraId="327DF6E7" w14:textId="77777777" w:rsidTr="00E21651">
        <w:trPr>
          <w:trHeight w:val="1247"/>
        </w:trPr>
        <w:tc>
          <w:tcPr>
            <w:tcW w:w="9016" w:type="dxa"/>
            <w:vAlign w:val="center"/>
          </w:tcPr>
          <w:p w14:paraId="0ABAC067" w14:textId="77777777" w:rsidR="00176D45" w:rsidRPr="00AC6CD1" w:rsidRDefault="006C177A" w:rsidP="00E21651">
            <w:pPr>
              <w:spacing w:after="120" w:line="276" w:lineRule="auto"/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</w:pPr>
            <w:r w:rsidRPr="00AC6CD1"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  <w:t>T</w:t>
            </w:r>
            <w:r w:rsidR="00176D45" w:rsidRPr="00AC6CD1"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  <w:t>he Purchaser</w:t>
            </w:r>
            <w:r w:rsidR="00A25B7B" w:rsidRPr="00AC6CD1"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  <w:t>/recipient</w:t>
            </w:r>
            <w:r w:rsidR="00176D45" w:rsidRPr="00AC6CD1"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  <w:t xml:space="preserve"> is not required to make a payment under section 14-250 of Schedule 1 of the </w:t>
            </w:r>
            <w:r w:rsidR="00176D45" w:rsidRPr="00AC6CD1">
              <w:rPr>
                <w:rFonts w:ascii="Century Gothic" w:eastAsia="Times New Roman" w:hAnsi="Century Gothic" w:cstheme="minorHAnsi"/>
                <w:i/>
                <w:color w:val="000000"/>
                <w:sz w:val="22"/>
                <w:lang w:val="en-AU" w:eastAsia="en-AU"/>
              </w:rPr>
              <w:t>Taxation Administration Act 1953</w:t>
            </w:r>
            <w:r w:rsidR="00176D45" w:rsidRPr="00AC6CD1"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  <w:t xml:space="preserve"> (Cwlth)</w:t>
            </w:r>
            <w:r w:rsidR="00A25B7B" w:rsidRPr="00AC6CD1"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  <w:t xml:space="preserve"> in relation to the supply of the above property</w:t>
            </w:r>
            <w:r w:rsidR="00176D45" w:rsidRPr="00AC6CD1"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  <w:t>.</w:t>
            </w:r>
          </w:p>
          <w:p w14:paraId="38B9299B" w14:textId="28060A02" w:rsidR="00AC6CD1" w:rsidRPr="00AC6CD1" w:rsidRDefault="00AC6CD1" w:rsidP="00E21651">
            <w:pPr>
              <w:spacing w:after="120" w:line="276" w:lineRule="auto"/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</w:pPr>
          </w:p>
        </w:tc>
      </w:tr>
    </w:tbl>
    <w:p w14:paraId="2575BC5C" w14:textId="77777777" w:rsidR="00E21651" w:rsidRPr="00AC6CD1" w:rsidRDefault="00E21651">
      <w:pPr>
        <w:rPr>
          <w:rFonts w:ascii="Century Gothic" w:hAnsi="Century Gothic"/>
          <w:sz w:val="22"/>
        </w:rPr>
      </w:pPr>
    </w:p>
    <w:p w14:paraId="30C7D0FE" w14:textId="77777777" w:rsidR="00E21651" w:rsidRPr="00AC6CD1" w:rsidRDefault="00E21651">
      <w:pPr>
        <w:rPr>
          <w:rFonts w:ascii="Century Gothic" w:hAnsi="Century Gothic"/>
          <w:sz w:val="22"/>
        </w:rPr>
      </w:pPr>
      <w:r w:rsidRPr="00AC6CD1">
        <w:rPr>
          <w:rFonts w:ascii="Century Gothic" w:hAnsi="Century Gothic"/>
          <w:sz w:val="22"/>
        </w:rPr>
        <w:t>OR</w:t>
      </w:r>
    </w:p>
    <w:p w14:paraId="7CA96342" w14:textId="77777777" w:rsidR="00E21651" w:rsidRPr="00AC6CD1" w:rsidRDefault="00E21651">
      <w:pPr>
        <w:rPr>
          <w:rFonts w:ascii="Century Gothic" w:hAnsi="Century Gothic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6D45" w:rsidRPr="00AC6CD1" w14:paraId="29987DB9" w14:textId="77777777" w:rsidTr="00E21651">
        <w:trPr>
          <w:trHeight w:val="2781"/>
        </w:trPr>
        <w:tc>
          <w:tcPr>
            <w:tcW w:w="9016" w:type="dxa"/>
            <w:vAlign w:val="center"/>
          </w:tcPr>
          <w:p w14:paraId="0951C3A8" w14:textId="5363F1C0" w:rsidR="00176D45" w:rsidRPr="00AC6CD1" w:rsidRDefault="006C177A" w:rsidP="00176D45">
            <w:pPr>
              <w:spacing w:after="120" w:line="276" w:lineRule="auto"/>
              <w:rPr>
                <w:rFonts w:ascii="Century Gothic" w:hAnsi="Century Gothic" w:cstheme="minorHAnsi"/>
                <w:sz w:val="22"/>
              </w:rPr>
            </w:pPr>
            <w:r w:rsidRPr="00AC6CD1"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  <w:t>T</w:t>
            </w:r>
            <w:r w:rsidR="00A25B7B" w:rsidRPr="00AC6CD1"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  <w:t>he Purchaser/recipient</w:t>
            </w:r>
            <w:r w:rsidR="00176D45" w:rsidRPr="00AC6CD1"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  <w:t xml:space="preserve"> is required to make a payment </w:t>
            </w:r>
            <w:r w:rsidR="00095938" w:rsidRPr="00AC6CD1"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  <w:t xml:space="preserve">of the amount </w:t>
            </w:r>
            <w:r w:rsidR="00176D45" w:rsidRPr="00AC6CD1"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  <w:t xml:space="preserve">under section 14-250 of Schedule 1 of the </w:t>
            </w:r>
            <w:r w:rsidR="00176D45" w:rsidRPr="00AC6CD1">
              <w:rPr>
                <w:rFonts w:ascii="Century Gothic" w:eastAsia="Times New Roman" w:hAnsi="Century Gothic" w:cstheme="minorHAnsi"/>
                <w:i/>
                <w:color w:val="000000"/>
                <w:sz w:val="22"/>
                <w:lang w:val="en-AU" w:eastAsia="en-AU"/>
              </w:rPr>
              <w:t>Taxation Administration Act 1953</w:t>
            </w:r>
            <w:r w:rsidR="00176D45" w:rsidRPr="00AC6CD1"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  <w:t xml:space="preserve"> (Cwlth)</w:t>
            </w:r>
            <w:r w:rsidRPr="00AC6CD1"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  <w:t xml:space="preserve"> as follows</w:t>
            </w:r>
            <w:r w:rsidR="00A25B7B" w:rsidRPr="00AC6CD1"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  <w:t xml:space="preserve"> in relation to the supply of the above property</w:t>
            </w:r>
            <w:r w:rsidRPr="00AC6CD1"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  <w:t>:</w:t>
            </w:r>
          </w:p>
          <w:p w14:paraId="2010A447" w14:textId="6D2D1FD8" w:rsidR="00095938" w:rsidRPr="00AC6CD1" w:rsidRDefault="00095938" w:rsidP="00176D45">
            <w:pPr>
              <w:spacing w:after="120" w:line="276" w:lineRule="auto"/>
              <w:rPr>
                <w:rFonts w:ascii="Century Gothic" w:eastAsia="Times New Roman" w:hAnsi="Century Gothic" w:cstheme="minorHAnsi"/>
                <w:i/>
                <w:color w:val="000000"/>
                <w:sz w:val="22"/>
                <w:lang w:val="en-AU" w:eastAsia="en-AU"/>
              </w:rPr>
            </w:pPr>
            <w:r w:rsidRPr="00AC6CD1"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  <w:t>Withholding a</w:t>
            </w:r>
            <w:r w:rsidR="00176D45" w:rsidRPr="00AC6CD1"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  <w:t>mount</w:t>
            </w:r>
            <w:r w:rsidRPr="00AC6CD1"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  <w:t>: $</w:t>
            </w:r>
            <w:r w:rsidRPr="00AC6CD1">
              <w:rPr>
                <w:rFonts w:ascii="Century Gothic" w:eastAsia="Times New Roman" w:hAnsi="Century Gothic" w:cstheme="minorHAnsi"/>
                <w:i/>
                <w:color w:val="000000"/>
                <w:sz w:val="22"/>
                <w:lang w:val="en-AU" w:eastAsia="en-AU"/>
              </w:rPr>
              <w:t>______________</w:t>
            </w:r>
          </w:p>
          <w:p w14:paraId="72F3FAB9" w14:textId="04D45441" w:rsidR="00176D45" w:rsidRPr="00AC6CD1" w:rsidRDefault="00176D45" w:rsidP="00176D45">
            <w:pPr>
              <w:spacing w:after="120" w:line="276" w:lineRule="auto"/>
              <w:rPr>
                <w:rFonts w:ascii="Century Gothic" w:eastAsia="Times New Roman" w:hAnsi="Century Gothic" w:cstheme="minorHAnsi"/>
                <w:i/>
                <w:color w:val="000000"/>
                <w:sz w:val="22"/>
                <w:lang w:val="en-AU" w:eastAsia="en-AU"/>
              </w:rPr>
            </w:pPr>
            <w:r w:rsidRPr="00AC6CD1"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  <w:t>The purchaser</w:t>
            </w:r>
            <w:r w:rsidR="00AC6CD1" w:rsidRPr="00AC6CD1"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  <w:t>/recipient</w:t>
            </w:r>
            <w:r w:rsidRPr="00AC6CD1"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  <w:t xml:space="preserve"> will be required to pay the withholding amount on or before the day of settlement, namely:</w:t>
            </w:r>
            <w:r w:rsidRPr="00AC6CD1">
              <w:rPr>
                <w:rFonts w:ascii="Century Gothic" w:eastAsia="Times New Roman" w:hAnsi="Century Gothic" w:cstheme="minorHAnsi"/>
                <w:i/>
                <w:color w:val="000000"/>
                <w:sz w:val="22"/>
                <w:lang w:val="en-AU" w:eastAsia="en-AU"/>
              </w:rPr>
              <w:t xml:space="preserve"> _____________________________</w:t>
            </w:r>
          </w:p>
          <w:p w14:paraId="40E19832" w14:textId="50B479E2" w:rsidR="00AC6CD1" w:rsidRPr="00AC6CD1" w:rsidRDefault="00AC6CD1" w:rsidP="00AC6CD1">
            <w:pPr>
              <w:spacing w:after="120" w:line="276" w:lineRule="auto"/>
              <w:rPr>
                <w:rFonts w:ascii="Century Gothic" w:hAnsi="Century Gothic" w:cstheme="minorHAnsi"/>
                <w:sz w:val="22"/>
              </w:rPr>
            </w:pPr>
            <w:r w:rsidRPr="00AC6CD1">
              <w:rPr>
                <w:rFonts w:ascii="Century Gothic" w:eastAsia="Times New Roman" w:hAnsi="Century Gothic" w:cstheme="minorHAnsi"/>
                <w:color w:val="000000"/>
                <w:sz w:val="22"/>
                <w:lang w:val="en-AU" w:eastAsia="en-AU"/>
              </w:rPr>
              <w:t>Vendor/supplier ABN:   ___________________________________________</w:t>
            </w:r>
          </w:p>
        </w:tc>
      </w:tr>
    </w:tbl>
    <w:p w14:paraId="5A1BE797" w14:textId="77777777" w:rsidR="004235BC" w:rsidRPr="00AC6CD1" w:rsidRDefault="004235BC" w:rsidP="004235BC">
      <w:pPr>
        <w:pStyle w:val="Style1"/>
        <w:spacing w:after="120" w:line="276" w:lineRule="auto"/>
        <w:rPr>
          <w:rFonts w:ascii="Century Gothic" w:eastAsia="Times New Roman" w:hAnsi="Century Gothic" w:cstheme="minorHAnsi"/>
          <w:color w:val="000000"/>
          <w:sz w:val="22"/>
          <w:lang w:val="en-AU" w:eastAsia="en-AU"/>
        </w:rPr>
      </w:pPr>
    </w:p>
    <w:p w14:paraId="61CD4BCE" w14:textId="4516088F" w:rsidR="00AC6CD1" w:rsidRPr="00AC6CD1" w:rsidRDefault="00AC6CD1" w:rsidP="00AC6CD1">
      <w:pPr>
        <w:tabs>
          <w:tab w:val="left" w:pos="993"/>
        </w:tabs>
        <w:spacing w:after="120" w:line="276" w:lineRule="auto"/>
        <w:rPr>
          <w:rFonts w:ascii="Century Gothic" w:eastAsia="Times New Roman" w:hAnsi="Century Gothic" w:cstheme="minorHAnsi"/>
          <w:color w:val="000000"/>
          <w:sz w:val="22"/>
          <w:lang w:val="en-AU" w:eastAsia="en-AU"/>
        </w:rPr>
      </w:pPr>
      <w:r w:rsidRPr="00AC6CD1">
        <w:rPr>
          <w:rFonts w:ascii="Century Gothic" w:eastAsia="Times New Roman" w:hAnsi="Century Gothic" w:cstheme="minorHAnsi"/>
          <w:b/>
          <w:color w:val="000000"/>
          <w:lang w:val="en-AU" w:eastAsia="en-AU"/>
        </w:rPr>
        <w:t>From:</w:t>
      </w:r>
      <w:r w:rsidRPr="00AC6CD1">
        <w:rPr>
          <w:rFonts w:ascii="Century Gothic" w:eastAsia="Times New Roman" w:hAnsi="Century Gothic" w:cstheme="minorHAnsi"/>
          <w:color w:val="000000"/>
          <w:lang w:val="en-AU" w:eastAsia="en-AU"/>
        </w:rPr>
        <w:t xml:space="preserve"> </w:t>
      </w:r>
      <w:r w:rsidR="0044695D" w:rsidRPr="00AC6CD1">
        <w:rPr>
          <w:rFonts w:ascii="Century Gothic" w:eastAsia="Times New Roman" w:hAnsi="Century Gothic" w:cstheme="minorHAnsi"/>
          <w:color w:val="000000"/>
          <w:lang w:val="en-AU" w:eastAsia="en-AU"/>
        </w:rPr>
        <w:t xml:space="preserve"> </w:t>
      </w:r>
      <w:r w:rsidRPr="00AC6CD1">
        <w:rPr>
          <w:rFonts w:ascii="Century Gothic" w:eastAsia="Times New Roman" w:hAnsi="Century Gothic" w:cstheme="minorHAnsi"/>
          <w:color w:val="000000"/>
          <w:sz w:val="22"/>
          <w:lang w:val="en-AU" w:eastAsia="en-AU"/>
        </w:rPr>
        <w:t>Vendor/supplier: ___________________________________</w:t>
      </w:r>
    </w:p>
    <w:p w14:paraId="7D7AA286" w14:textId="012FD417" w:rsidR="0044695D" w:rsidRPr="00AC6CD1" w:rsidRDefault="0044695D" w:rsidP="00882E83">
      <w:pPr>
        <w:pStyle w:val="Style1"/>
        <w:spacing w:after="120" w:line="276" w:lineRule="auto"/>
        <w:rPr>
          <w:rFonts w:ascii="Century Gothic" w:hAnsi="Century Gothic" w:cstheme="minorHAnsi"/>
          <w:sz w:val="22"/>
        </w:rPr>
      </w:pPr>
      <w:r w:rsidRPr="00AC6CD1">
        <w:rPr>
          <w:rFonts w:ascii="Century Gothic" w:eastAsia="Times New Roman" w:hAnsi="Century Gothic" w:cstheme="minorHAnsi"/>
          <w:color w:val="000000"/>
          <w:sz w:val="22"/>
          <w:lang w:val="en-AU" w:eastAsia="en-AU"/>
        </w:rPr>
        <w:t xml:space="preserve"> </w:t>
      </w:r>
      <w:r w:rsidRPr="00AC6CD1">
        <w:rPr>
          <w:rFonts w:ascii="Century Gothic" w:eastAsia="Times New Roman" w:hAnsi="Century Gothic" w:cstheme="minorHAnsi"/>
          <w:color w:val="000000"/>
          <w:sz w:val="22"/>
          <w:lang w:val="en-AU" w:eastAsia="en-AU"/>
        </w:rPr>
        <w:br/>
      </w:r>
      <w:r w:rsidR="00BB30CB" w:rsidRPr="00AC6CD1">
        <w:rPr>
          <w:rFonts w:ascii="Century Gothic" w:hAnsi="Century Gothic" w:cstheme="minorHAnsi"/>
          <w:b/>
        </w:rPr>
        <w:t>Dated:</w:t>
      </w:r>
      <w:r w:rsidR="00BB30CB" w:rsidRPr="00AC6CD1">
        <w:rPr>
          <w:rFonts w:ascii="Century Gothic" w:hAnsi="Century Gothic" w:cstheme="minorHAnsi"/>
          <w:b/>
        </w:rPr>
        <w:tab/>
      </w:r>
      <w:r w:rsidR="00126A31" w:rsidRPr="00AC6CD1">
        <w:rPr>
          <w:rFonts w:ascii="Century Gothic" w:hAnsi="Century Gothic" w:cstheme="minorHAnsi"/>
        </w:rPr>
        <w:t>__</w:t>
      </w:r>
      <w:r w:rsidR="00BB30CB" w:rsidRPr="00AC6CD1">
        <w:rPr>
          <w:rFonts w:ascii="Century Gothic" w:hAnsi="Century Gothic" w:cstheme="minorHAnsi"/>
        </w:rPr>
        <w:t>/</w:t>
      </w:r>
      <w:r w:rsidR="00126A31" w:rsidRPr="00AC6CD1">
        <w:rPr>
          <w:rFonts w:ascii="Century Gothic" w:hAnsi="Century Gothic" w:cstheme="minorHAnsi"/>
        </w:rPr>
        <w:t>__</w:t>
      </w:r>
      <w:r w:rsidR="00BB30CB" w:rsidRPr="00AC6CD1">
        <w:rPr>
          <w:rFonts w:ascii="Century Gothic" w:hAnsi="Century Gothic" w:cstheme="minorHAnsi"/>
        </w:rPr>
        <w:t>/20</w:t>
      </w:r>
      <w:r w:rsidR="00126A31" w:rsidRPr="00AC6CD1">
        <w:rPr>
          <w:rFonts w:ascii="Century Gothic" w:hAnsi="Century Gothic" w:cstheme="minorHAnsi"/>
        </w:rPr>
        <w:t>__</w:t>
      </w:r>
    </w:p>
    <w:p w14:paraId="64B9E524" w14:textId="77777777" w:rsidR="0044695D" w:rsidRPr="00AC6CD1" w:rsidRDefault="0044695D" w:rsidP="004235BC">
      <w:pPr>
        <w:pStyle w:val="Style1"/>
        <w:spacing w:after="120" w:line="276" w:lineRule="auto"/>
        <w:rPr>
          <w:rFonts w:ascii="Century Gothic" w:hAnsi="Century Gothic" w:cstheme="minorHAnsi"/>
          <w:sz w:val="22"/>
        </w:rPr>
      </w:pPr>
    </w:p>
    <w:p w14:paraId="4A9876A9" w14:textId="0F8103F3" w:rsidR="005C066F" w:rsidRPr="00AC6CD1" w:rsidRDefault="00222070" w:rsidP="00222070">
      <w:pPr>
        <w:pStyle w:val="Style1"/>
        <w:spacing w:after="120" w:line="276" w:lineRule="auto"/>
        <w:rPr>
          <w:rFonts w:ascii="Century Gothic" w:hAnsi="Century Gothic" w:cstheme="minorHAnsi"/>
        </w:rPr>
      </w:pPr>
      <w:r w:rsidRPr="00AC6CD1">
        <w:rPr>
          <w:rFonts w:ascii="Century Gothic" w:hAnsi="Century Gothic" w:cstheme="minorHAnsi"/>
          <w:b/>
        </w:rPr>
        <w:t>Signed by or on behalf of the vendor</w:t>
      </w:r>
      <w:r w:rsidR="00AC6CD1" w:rsidRPr="00AC6CD1">
        <w:rPr>
          <w:rFonts w:ascii="Century Gothic" w:hAnsi="Century Gothic" w:cstheme="minorHAnsi"/>
          <w:b/>
        </w:rPr>
        <w:t>/</w:t>
      </w:r>
      <w:proofErr w:type="gramStart"/>
      <w:r w:rsidR="00AC6CD1" w:rsidRPr="00AC6CD1">
        <w:rPr>
          <w:rFonts w:ascii="Century Gothic" w:hAnsi="Century Gothic" w:cstheme="minorHAnsi"/>
          <w:b/>
        </w:rPr>
        <w:t>supplier</w:t>
      </w:r>
      <w:r w:rsidRPr="00AC6CD1">
        <w:rPr>
          <w:rFonts w:ascii="Century Gothic" w:hAnsi="Century Gothic" w:cstheme="minorHAnsi"/>
        </w:rPr>
        <w:t>:</w:t>
      </w:r>
      <w:r w:rsidR="00126A31" w:rsidRPr="00AC6CD1">
        <w:rPr>
          <w:rFonts w:ascii="Century Gothic" w:hAnsi="Century Gothic" w:cstheme="minorHAnsi"/>
        </w:rPr>
        <w:t>_</w:t>
      </w:r>
      <w:proofErr w:type="gramEnd"/>
      <w:r w:rsidR="00126A31" w:rsidRPr="00AC6CD1">
        <w:rPr>
          <w:rFonts w:ascii="Century Gothic" w:hAnsi="Century Gothic" w:cstheme="minorHAnsi"/>
        </w:rPr>
        <w:t>_________________________</w:t>
      </w:r>
    </w:p>
    <w:p w14:paraId="3F1E079D" w14:textId="77777777" w:rsidR="00AC6CD1" w:rsidRPr="00AC6CD1" w:rsidRDefault="00AC6CD1">
      <w:pPr>
        <w:spacing w:after="160" w:line="259" w:lineRule="auto"/>
        <w:rPr>
          <w:rFonts w:ascii="Century Gothic" w:hAnsi="Century Gothic" w:cstheme="minorHAnsi"/>
          <w:sz w:val="22"/>
        </w:rPr>
      </w:pPr>
      <w:r w:rsidRPr="00AC6CD1">
        <w:rPr>
          <w:rFonts w:ascii="Century Gothic" w:hAnsi="Century Gothic" w:cstheme="minorHAnsi"/>
          <w:sz w:val="22"/>
        </w:rPr>
        <w:br w:type="page"/>
      </w:r>
    </w:p>
    <w:p w14:paraId="28D5840D" w14:textId="22E8269D" w:rsidR="0043766D" w:rsidRPr="00AC6CD1" w:rsidRDefault="0043766D" w:rsidP="00222070">
      <w:pPr>
        <w:pStyle w:val="Style1"/>
        <w:spacing w:after="120" w:line="276" w:lineRule="auto"/>
        <w:rPr>
          <w:rFonts w:ascii="Century Gothic" w:hAnsi="Century Gothic" w:cstheme="minorHAnsi"/>
          <w:sz w:val="22"/>
        </w:rPr>
      </w:pPr>
      <w:r w:rsidRPr="00AC6CD1">
        <w:rPr>
          <w:rFonts w:ascii="Century Gothic" w:hAnsi="Century Gothic" w:cstheme="minorHAnsi"/>
          <w:sz w:val="22"/>
        </w:rPr>
        <w:lastRenderedPageBreak/>
        <w:t>Notes - not part of notice</w:t>
      </w:r>
    </w:p>
    <w:p w14:paraId="400F4B0E" w14:textId="1CEBC2A4" w:rsidR="00AC6CD1" w:rsidRPr="00AC6CD1" w:rsidRDefault="00AC6CD1" w:rsidP="00AC6CD1">
      <w:pPr>
        <w:pStyle w:val="ListParagraph"/>
        <w:numPr>
          <w:ilvl w:val="0"/>
          <w:numId w:val="2"/>
        </w:numPr>
        <w:rPr>
          <w:rFonts w:ascii="Century Gothic" w:eastAsia="Times New Roman" w:hAnsi="Century Gothic" w:cstheme="minorHAnsi"/>
          <w:sz w:val="22"/>
        </w:rPr>
      </w:pPr>
      <w:r w:rsidRPr="00AC6CD1">
        <w:rPr>
          <w:rFonts w:ascii="Century Gothic" w:eastAsia="Times New Roman" w:hAnsi="Century Gothic" w:cstheme="minorHAnsi"/>
          <w:sz w:val="22"/>
        </w:rPr>
        <w:t xml:space="preserve">When using the Law Institute of Victoria ‘GST withholding’ special condition note the requirement in </w:t>
      </w:r>
      <w:r w:rsidR="006D7E9D">
        <w:rPr>
          <w:rFonts w:ascii="Century Gothic" w:eastAsia="Times New Roman" w:hAnsi="Century Gothic" w:cstheme="minorHAnsi"/>
          <w:sz w:val="22"/>
        </w:rPr>
        <w:t>25.3</w:t>
      </w:r>
      <w:r w:rsidRPr="00AC6CD1">
        <w:rPr>
          <w:rFonts w:ascii="Century Gothic" w:eastAsia="Times New Roman" w:hAnsi="Century Gothic" w:cstheme="minorHAnsi"/>
          <w:sz w:val="22"/>
        </w:rPr>
        <w:t xml:space="preserve"> to give the notice at least 14 days before the due date for settlement.  </w:t>
      </w:r>
    </w:p>
    <w:p w14:paraId="25BF2544" w14:textId="77777777" w:rsidR="00AC6CD1" w:rsidRPr="00AC6CD1" w:rsidRDefault="00AC6CD1" w:rsidP="00AC6CD1">
      <w:pPr>
        <w:pStyle w:val="ListParagraph"/>
        <w:ind w:left="360"/>
        <w:rPr>
          <w:rFonts w:ascii="Century Gothic" w:eastAsia="Times New Roman" w:hAnsi="Century Gothic" w:cstheme="minorHAnsi"/>
          <w:sz w:val="22"/>
        </w:rPr>
      </w:pPr>
    </w:p>
    <w:p w14:paraId="310558A0" w14:textId="77777777" w:rsidR="00AC6CD1" w:rsidRPr="00AC6CD1" w:rsidRDefault="00AC6CD1" w:rsidP="00AC6CD1">
      <w:pPr>
        <w:pStyle w:val="ListParagraph"/>
        <w:numPr>
          <w:ilvl w:val="0"/>
          <w:numId w:val="2"/>
        </w:numPr>
        <w:rPr>
          <w:rFonts w:ascii="Century Gothic" w:eastAsia="Times New Roman" w:hAnsi="Century Gothic" w:cstheme="minorHAnsi"/>
          <w:sz w:val="22"/>
        </w:rPr>
      </w:pPr>
      <w:r w:rsidRPr="00AC6CD1">
        <w:rPr>
          <w:rFonts w:ascii="Century Gothic" w:eastAsia="Times New Roman" w:hAnsi="Century Gothic" w:cstheme="minorHAnsi"/>
          <w:sz w:val="22"/>
        </w:rPr>
        <w:t xml:space="preserve">A notice is required to be given for an input taxed supply of land even though there is no withholding obligation. Residential premises which are not new are input taxed. </w:t>
      </w:r>
    </w:p>
    <w:p w14:paraId="3525D16F" w14:textId="77777777" w:rsidR="00AC6CD1" w:rsidRPr="00AC6CD1" w:rsidRDefault="00AC6CD1" w:rsidP="00AC6CD1">
      <w:pPr>
        <w:pStyle w:val="ListParagraph"/>
        <w:ind w:left="360"/>
        <w:rPr>
          <w:rFonts w:ascii="Century Gothic" w:eastAsia="Times New Roman" w:hAnsi="Century Gothic" w:cstheme="minorHAnsi"/>
          <w:sz w:val="22"/>
        </w:rPr>
      </w:pPr>
    </w:p>
    <w:p w14:paraId="06E06AF7" w14:textId="77777777" w:rsidR="00AC6CD1" w:rsidRPr="00AC6CD1" w:rsidRDefault="00AC6CD1" w:rsidP="00AC6CD1">
      <w:pPr>
        <w:pStyle w:val="ListParagraph"/>
        <w:numPr>
          <w:ilvl w:val="0"/>
          <w:numId w:val="2"/>
        </w:numPr>
        <w:rPr>
          <w:rFonts w:ascii="Century Gothic" w:eastAsia="Times New Roman" w:hAnsi="Century Gothic" w:cstheme="minorHAnsi"/>
          <w:sz w:val="22"/>
        </w:rPr>
      </w:pPr>
      <w:r w:rsidRPr="00AC6CD1">
        <w:rPr>
          <w:rFonts w:ascii="Century Gothic" w:eastAsia="Times New Roman" w:hAnsi="Century Gothic" w:cstheme="minorHAnsi"/>
          <w:sz w:val="22"/>
        </w:rPr>
        <w:t>For potential residential land, where the recipient of supply is registered and acquires for a creditable purpose, neither the obligation to notify nor the withholding obligation applies.</w:t>
      </w:r>
    </w:p>
    <w:p w14:paraId="6A743ED3" w14:textId="77777777" w:rsidR="00AC6CD1" w:rsidRPr="00AC6CD1" w:rsidRDefault="00AC6CD1" w:rsidP="00AC6CD1">
      <w:pPr>
        <w:pStyle w:val="ListParagraph"/>
        <w:ind w:left="360"/>
        <w:rPr>
          <w:rFonts w:ascii="Century Gothic" w:eastAsia="Times New Roman" w:hAnsi="Century Gothic" w:cstheme="minorHAnsi"/>
          <w:sz w:val="22"/>
        </w:rPr>
      </w:pPr>
    </w:p>
    <w:p w14:paraId="089B0E3B" w14:textId="77777777" w:rsidR="00AC6CD1" w:rsidRPr="00AC6CD1" w:rsidRDefault="00AC6CD1" w:rsidP="00AC6CD1">
      <w:pPr>
        <w:pStyle w:val="ListParagraph"/>
        <w:numPr>
          <w:ilvl w:val="0"/>
          <w:numId w:val="2"/>
        </w:numPr>
        <w:rPr>
          <w:rFonts w:ascii="Century Gothic" w:eastAsia="Times New Roman" w:hAnsi="Century Gothic" w:cstheme="minorHAnsi"/>
          <w:sz w:val="22"/>
        </w:rPr>
      </w:pPr>
      <w:r w:rsidRPr="00AC6CD1">
        <w:rPr>
          <w:rFonts w:ascii="Century Gothic" w:eastAsia="Times New Roman" w:hAnsi="Century Gothic" w:cstheme="minorHAnsi"/>
          <w:sz w:val="22"/>
        </w:rPr>
        <w:t>Land on which there is no residential premises, but in relation to which there is potential for residential premises, is potential residential land sufficient to trigger the obligation to notify.</w:t>
      </w:r>
    </w:p>
    <w:p w14:paraId="3F7D9E4A" w14:textId="77777777" w:rsidR="00AC6CD1" w:rsidRPr="00AC6CD1" w:rsidRDefault="00AC6CD1" w:rsidP="00AC6CD1">
      <w:pPr>
        <w:rPr>
          <w:rFonts w:ascii="Century Gothic" w:eastAsia="Times New Roman" w:hAnsi="Century Gothic" w:cstheme="minorHAnsi"/>
          <w:sz w:val="22"/>
        </w:rPr>
      </w:pPr>
    </w:p>
    <w:p w14:paraId="512E40D8" w14:textId="77777777" w:rsidR="00AC6CD1" w:rsidRPr="00AC6CD1" w:rsidRDefault="00AC6CD1" w:rsidP="00AC6CD1">
      <w:pPr>
        <w:pStyle w:val="ListParagraph"/>
        <w:numPr>
          <w:ilvl w:val="0"/>
          <w:numId w:val="2"/>
        </w:numPr>
        <w:rPr>
          <w:rFonts w:ascii="Century Gothic" w:eastAsia="Times New Roman" w:hAnsi="Century Gothic" w:cstheme="minorHAnsi"/>
          <w:sz w:val="22"/>
        </w:rPr>
      </w:pPr>
      <w:r w:rsidRPr="00AC6CD1">
        <w:rPr>
          <w:rFonts w:ascii="Century Gothic" w:eastAsia="Times New Roman" w:hAnsi="Century Gothic" w:cstheme="minorHAnsi"/>
          <w:sz w:val="22"/>
        </w:rPr>
        <w:t>A supply of land which is designated as a supply of a going concern or land used for a farming business and which meets the requirements for an exemption will be GST-free and not taxable.  Consequently, although there may have been an obligation to notify, the supply will not attract the withholding obligation.</w:t>
      </w:r>
    </w:p>
    <w:p w14:paraId="767A6EA4" w14:textId="77777777" w:rsidR="00AC6CD1" w:rsidRPr="00AC6CD1" w:rsidRDefault="00AC6CD1" w:rsidP="00AC6CD1">
      <w:pPr>
        <w:pStyle w:val="ListParagraph"/>
        <w:rPr>
          <w:rFonts w:ascii="Century Gothic" w:eastAsia="Times New Roman" w:hAnsi="Century Gothic" w:cstheme="minorHAnsi"/>
          <w:sz w:val="22"/>
        </w:rPr>
      </w:pPr>
    </w:p>
    <w:p w14:paraId="51F3710E" w14:textId="77777777" w:rsidR="00AC6CD1" w:rsidRPr="00AC6CD1" w:rsidRDefault="00AC6CD1" w:rsidP="00AC6CD1">
      <w:pPr>
        <w:pStyle w:val="ListParagraph"/>
        <w:numPr>
          <w:ilvl w:val="0"/>
          <w:numId w:val="2"/>
        </w:numPr>
        <w:rPr>
          <w:rFonts w:ascii="Century Gothic" w:eastAsia="Times New Roman" w:hAnsi="Century Gothic" w:cstheme="minorHAnsi"/>
          <w:sz w:val="22"/>
        </w:rPr>
      </w:pPr>
      <w:r w:rsidRPr="00AC6CD1">
        <w:rPr>
          <w:rFonts w:ascii="Century Gothic" w:eastAsia="Times New Roman" w:hAnsi="Century Gothic" w:cstheme="minorHAnsi"/>
          <w:sz w:val="22"/>
        </w:rPr>
        <w:t xml:space="preserve">There is some debate about whether the notice needs to be signed by the supplier/vendor. </w:t>
      </w:r>
    </w:p>
    <w:p w14:paraId="0344FA16" w14:textId="77777777" w:rsidR="00AC6CD1" w:rsidRPr="00AC6CD1" w:rsidRDefault="00AC6CD1" w:rsidP="00AC6CD1">
      <w:pPr>
        <w:pStyle w:val="ListParagraph"/>
        <w:rPr>
          <w:rFonts w:ascii="Century Gothic" w:eastAsia="Times New Roman" w:hAnsi="Century Gothic" w:cstheme="minorHAnsi"/>
          <w:sz w:val="22"/>
        </w:rPr>
      </w:pPr>
    </w:p>
    <w:p w14:paraId="083AC2DC" w14:textId="77777777" w:rsidR="00AC6CD1" w:rsidRPr="00AC6CD1" w:rsidRDefault="00AC6CD1" w:rsidP="00AC6CD1">
      <w:pPr>
        <w:pStyle w:val="ListParagraph"/>
        <w:numPr>
          <w:ilvl w:val="0"/>
          <w:numId w:val="2"/>
        </w:numPr>
        <w:rPr>
          <w:rFonts w:ascii="Century Gothic" w:eastAsia="Times New Roman" w:hAnsi="Century Gothic" w:cstheme="minorHAnsi"/>
          <w:sz w:val="22"/>
        </w:rPr>
      </w:pPr>
      <w:r w:rsidRPr="00AC6CD1">
        <w:rPr>
          <w:rFonts w:ascii="Century Gothic" w:eastAsia="Times New Roman" w:hAnsi="Century Gothic" w:cstheme="minorHAnsi"/>
          <w:sz w:val="22"/>
        </w:rPr>
        <w:t xml:space="preserve">Additional information will need to be inserted in the form where there is non-monetary </w:t>
      </w:r>
      <w:proofErr w:type="gramStart"/>
      <w:r w:rsidRPr="00AC6CD1">
        <w:rPr>
          <w:rFonts w:ascii="Century Gothic" w:eastAsia="Times New Roman" w:hAnsi="Century Gothic" w:cstheme="minorHAnsi"/>
          <w:sz w:val="22"/>
        </w:rPr>
        <w:t>consideration</w:t>
      </w:r>
      <w:proofErr w:type="gramEnd"/>
      <w:r w:rsidRPr="00AC6CD1">
        <w:rPr>
          <w:rFonts w:ascii="Century Gothic" w:eastAsia="Times New Roman" w:hAnsi="Century Gothic" w:cstheme="minorHAnsi"/>
          <w:sz w:val="22"/>
        </w:rPr>
        <w:t xml:space="preserve"> and this will affect the amount of the withholding.</w:t>
      </w:r>
    </w:p>
    <w:p w14:paraId="5152337C" w14:textId="77777777" w:rsidR="00AC6CD1" w:rsidRPr="00AC6CD1" w:rsidRDefault="00AC6CD1" w:rsidP="00AC6CD1">
      <w:pPr>
        <w:pStyle w:val="ListParagraph"/>
        <w:rPr>
          <w:rFonts w:ascii="Century Gothic" w:eastAsia="Times New Roman" w:hAnsi="Century Gothic" w:cstheme="minorHAnsi"/>
          <w:sz w:val="22"/>
        </w:rPr>
      </w:pPr>
    </w:p>
    <w:p w14:paraId="598E0A68" w14:textId="77777777" w:rsidR="00AC6CD1" w:rsidRPr="00AC6CD1" w:rsidRDefault="00AC6CD1" w:rsidP="00AC6CD1">
      <w:pPr>
        <w:pStyle w:val="ListParagraph"/>
        <w:numPr>
          <w:ilvl w:val="0"/>
          <w:numId w:val="2"/>
        </w:numPr>
        <w:rPr>
          <w:rFonts w:ascii="Century Gothic" w:eastAsia="Times New Roman" w:hAnsi="Century Gothic" w:cstheme="minorHAnsi"/>
          <w:sz w:val="22"/>
        </w:rPr>
      </w:pPr>
      <w:r w:rsidRPr="00AC6CD1">
        <w:rPr>
          <w:rFonts w:ascii="Century Gothic" w:eastAsia="Times New Roman" w:hAnsi="Century Gothic" w:cstheme="minorHAnsi"/>
          <w:sz w:val="22"/>
        </w:rPr>
        <w:t>If nomination occurs after a notification has been given, a fresh notification will be required.</w:t>
      </w:r>
    </w:p>
    <w:p w14:paraId="03C5509A" w14:textId="77777777" w:rsidR="0043766D" w:rsidRPr="00AC6CD1" w:rsidRDefault="0043766D" w:rsidP="00AC6CD1">
      <w:pPr>
        <w:rPr>
          <w:rFonts w:ascii="Century Gothic" w:eastAsia="Times New Roman" w:hAnsi="Century Gothic" w:cstheme="minorHAnsi"/>
          <w:sz w:val="22"/>
        </w:rPr>
      </w:pPr>
    </w:p>
    <w:sectPr w:rsidR="0043766D" w:rsidRPr="00AC6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7418" w14:textId="77777777" w:rsidR="00440054" w:rsidRDefault="00440054" w:rsidP="00440054">
      <w:r>
        <w:separator/>
      </w:r>
    </w:p>
  </w:endnote>
  <w:endnote w:type="continuationSeparator" w:id="0">
    <w:p w14:paraId="64B3392B" w14:textId="77777777" w:rsidR="00440054" w:rsidRDefault="00440054" w:rsidP="0044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9496" w14:textId="77777777" w:rsidR="00440054" w:rsidRDefault="00440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0361" w14:textId="489FF6B4" w:rsidR="00440054" w:rsidRPr="00AC6CD1" w:rsidRDefault="00AC6CD1" w:rsidP="00440054">
    <w:pPr>
      <w:pStyle w:val="Footer"/>
    </w:pPr>
    <w:r w:rsidRPr="00AC6CD1">
      <w:rPr>
        <w:noProof/>
      </w:rPr>
      <w:t>{00150808:4}</w:t>
    </w:r>
    <w:r w:rsidR="00440054" w:rsidRPr="00AC6CD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F69E" w14:textId="77777777" w:rsidR="00440054" w:rsidRDefault="00440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258B" w14:textId="77777777" w:rsidR="00440054" w:rsidRDefault="00440054" w:rsidP="0044005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B3AF1C4" w14:textId="77777777" w:rsidR="00440054" w:rsidRDefault="00440054" w:rsidP="0044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416E" w14:textId="77777777" w:rsidR="00440054" w:rsidRDefault="00440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50DA" w14:textId="77777777" w:rsidR="00440054" w:rsidRDefault="004400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5077" w14:textId="77777777" w:rsidR="00440054" w:rsidRDefault="00440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372D"/>
    <w:multiLevelType w:val="hybridMultilevel"/>
    <w:tmpl w:val="088C1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25873"/>
    <w:multiLevelType w:val="hybridMultilevel"/>
    <w:tmpl w:val="162873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6407782">
    <w:abstractNumId w:val="0"/>
  </w:num>
  <w:num w:numId="2" w16cid:durableId="394354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BC"/>
    <w:rsid w:val="00095938"/>
    <w:rsid w:val="0009610D"/>
    <w:rsid w:val="00126A31"/>
    <w:rsid w:val="00140D7D"/>
    <w:rsid w:val="00176D45"/>
    <w:rsid w:val="001A5396"/>
    <w:rsid w:val="00222070"/>
    <w:rsid w:val="0027327B"/>
    <w:rsid w:val="003C60BD"/>
    <w:rsid w:val="00415F43"/>
    <w:rsid w:val="004235BC"/>
    <w:rsid w:val="0043766D"/>
    <w:rsid w:val="00440054"/>
    <w:rsid w:val="004430DF"/>
    <w:rsid w:val="0044695D"/>
    <w:rsid w:val="005279ED"/>
    <w:rsid w:val="005C066F"/>
    <w:rsid w:val="006B6410"/>
    <w:rsid w:val="006C177A"/>
    <w:rsid w:val="006D7E9D"/>
    <w:rsid w:val="006F4241"/>
    <w:rsid w:val="00775A74"/>
    <w:rsid w:val="00882E83"/>
    <w:rsid w:val="00A02F76"/>
    <w:rsid w:val="00A25B7B"/>
    <w:rsid w:val="00AC6CD1"/>
    <w:rsid w:val="00BB30CB"/>
    <w:rsid w:val="00C36962"/>
    <w:rsid w:val="00E21651"/>
    <w:rsid w:val="00F62329"/>
    <w:rsid w:val="00F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981E"/>
  <w15:chartTrackingRefBased/>
  <w15:docId w15:val="{6C441EAD-4DAA-4E52-AC83-F3001AF2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5BC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PLCTableStyle">
    <w:name w:val="LPLC Table Style"/>
    <w:basedOn w:val="TableNormal"/>
    <w:uiPriority w:val="99"/>
    <w:qFormat/>
    <w:rsid w:val="004235BC"/>
    <w:pPr>
      <w:spacing w:before="40" w:after="40" w:line="240" w:lineRule="auto"/>
      <w:ind w:right="57"/>
    </w:pPr>
    <w:rPr>
      <w:rFonts w:ascii="Century Gothic" w:eastAsiaTheme="minorEastAsia" w:hAnsi="Century Gothic"/>
      <w:color w:val="000000" w:themeColor="text1"/>
      <w:lang w:eastAsia="ja-JP"/>
    </w:rPr>
    <w:tblPr>
      <w:tblBorders>
        <w:top w:val="single" w:sz="4" w:space="0" w:color="009EBA"/>
        <w:left w:val="single" w:sz="4" w:space="0" w:color="009EBA"/>
        <w:bottom w:val="single" w:sz="4" w:space="0" w:color="009EBA"/>
        <w:right w:val="single" w:sz="4" w:space="0" w:color="009EBA"/>
        <w:insideH w:val="single" w:sz="4" w:space="0" w:color="009EBA"/>
        <w:insideV w:val="single" w:sz="4" w:space="0" w:color="009EBA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pPr>
        <w:wordWrap/>
        <w:spacing w:beforeLines="80" w:beforeAutospacing="0" w:afterLines="80" w:afterAutospacing="0"/>
      </w:pPr>
      <w:rPr>
        <w:rFonts w:ascii="Century Gothic" w:hAnsi="Century Gothic"/>
        <w:b/>
        <w:color w:val="FFFFFF" w:themeColor="background1"/>
        <w:sz w:val="20"/>
      </w:rPr>
      <w:tblPr/>
      <w:trPr>
        <w:tblHeader/>
      </w:trPr>
      <w:tcPr>
        <w:shd w:val="clear" w:color="auto" w:fill="009EBA"/>
      </w:tcPr>
    </w:tblStylePr>
    <w:tblStylePr w:type="lastRow">
      <w:rPr>
        <w:rFonts w:ascii="Century Gothic" w:hAnsi="Century Gothic"/>
      </w:rPr>
    </w:tblStylePr>
    <w:tblStylePr w:type="firstCol">
      <w:rPr>
        <w:rFonts w:ascii="Century Gothic" w:hAnsi="Century Gothic"/>
      </w:rPr>
    </w:tblStylePr>
    <w:tblStylePr w:type="lastCol">
      <w:rPr>
        <w:rFonts w:ascii="Century Gothic" w:hAnsi="Century Gothic"/>
      </w:rPr>
    </w:tblStylePr>
  </w:style>
  <w:style w:type="paragraph" w:customStyle="1" w:styleId="Style1">
    <w:name w:val="Style1"/>
    <w:basedOn w:val="Normal"/>
    <w:qFormat/>
    <w:rsid w:val="004235BC"/>
  </w:style>
  <w:style w:type="paragraph" w:styleId="Header">
    <w:name w:val="header"/>
    <w:basedOn w:val="Normal"/>
    <w:link w:val="HeaderChar"/>
    <w:uiPriority w:val="99"/>
    <w:unhideWhenUsed/>
    <w:rsid w:val="00440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054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0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054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7B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17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2237</Characters>
  <Application>Microsoft Office Word</Application>
  <DocSecurity>0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GST withholding notice (00150808-4).DOCX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GST withholding notice (00150808-4).DOCX</dc:title>
  <dc:subject>00150808:4</dc:subject>
  <dc:creator>Heather Hibberd</dc:creator>
  <cp:keywords/>
  <dc:description/>
  <cp:lastModifiedBy>Emily D'Elia</cp:lastModifiedBy>
  <cp:revision>2</cp:revision>
  <cp:lastPrinted>2018-07-25T01:35:00Z</cp:lastPrinted>
  <dcterms:created xsi:type="dcterms:W3CDTF">2022-12-20T03:18:00Z</dcterms:created>
  <dcterms:modified xsi:type="dcterms:W3CDTF">2022-12-20T03:18:00Z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989425-2741-4ac1-a27e-edc0876168d9_Enabled">
    <vt:lpwstr>true</vt:lpwstr>
  </property>
  <property fmtid="{D5CDD505-2E9C-101B-9397-08002B2CF9AE}" pid="3" name="MSIP_Label_2d989425-2741-4ac1-a27e-edc0876168d9_SetDate">
    <vt:lpwstr>2022-12-19T04:44:17Z</vt:lpwstr>
  </property>
  <property fmtid="{D5CDD505-2E9C-101B-9397-08002B2CF9AE}" pid="4" name="MSIP_Label_2d989425-2741-4ac1-a27e-edc0876168d9_Method">
    <vt:lpwstr>Privileged</vt:lpwstr>
  </property>
  <property fmtid="{D5CDD505-2E9C-101B-9397-08002B2CF9AE}" pid="5" name="MSIP_Label_2d989425-2741-4ac1-a27e-edc0876168d9_Name">
    <vt:lpwstr>Unclassified</vt:lpwstr>
  </property>
  <property fmtid="{D5CDD505-2E9C-101B-9397-08002B2CF9AE}" pid="6" name="MSIP_Label_2d989425-2741-4ac1-a27e-edc0876168d9_SiteId">
    <vt:lpwstr>8893c732-7358-4693-a03d-3935d788c477</vt:lpwstr>
  </property>
  <property fmtid="{D5CDD505-2E9C-101B-9397-08002B2CF9AE}" pid="7" name="MSIP_Label_2d989425-2741-4ac1-a27e-edc0876168d9_ActionId">
    <vt:lpwstr>914c0668-7fef-41f7-9eb7-e88e2854ecde</vt:lpwstr>
  </property>
  <property fmtid="{D5CDD505-2E9C-101B-9397-08002B2CF9AE}" pid="8" name="MSIP_Label_2d989425-2741-4ac1-a27e-edc0876168d9_ContentBits">
    <vt:lpwstr>0</vt:lpwstr>
  </property>
</Properties>
</file>