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49F9A" w14:textId="0AFF48ED" w:rsidR="008D3ACB" w:rsidRPr="004943B2" w:rsidRDefault="00ED2923" w:rsidP="008D3ACB">
      <w:pPr>
        <w:spacing w:after="40"/>
        <w:rPr>
          <w:rFonts w:asciiTheme="minorHAnsi" w:hAnsiTheme="minorHAnsi"/>
          <w:b/>
          <w:bCs/>
          <w:color w:val="1F3364"/>
          <w:sz w:val="34"/>
          <w:szCs w:val="34"/>
        </w:rPr>
      </w:pPr>
      <w:r w:rsidRPr="004943B2">
        <w:rPr>
          <w:rFonts w:asciiTheme="minorHAnsi" w:hAnsiTheme="minorHAnsi"/>
          <w:b/>
          <w:bCs/>
          <w:color w:val="1F3364"/>
          <w:sz w:val="34"/>
          <w:szCs w:val="34"/>
        </w:rPr>
        <w:t>Vendor</w:t>
      </w:r>
      <w:r w:rsidR="003F1051" w:rsidRPr="004943B2">
        <w:rPr>
          <w:rFonts w:asciiTheme="minorHAnsi" w:hAnsiTheme="minorHAnsi"/>
          <w:b/>
          <w:bCs/>
          <w:color w:val="1F3364"/>
          <w:sz w:val="34"/>
          <w:szCs w:val="34"/>
        </w:rPr>
        <w:t xml:space="preserve"> practitioner s</w:t>
      </w:r>
      <w:r w:rsidR="00B84943" w:rsidRPr="004943B2">
        <w:rPr>
          <w:rFonts w:asciiTheme="minorHAnsi" w:hAnsiTheme="minorHAnsi"/>
          <w:b/>
          <w:bCs/>
          <w:color w:val="1F3364"/>
          <w:sz w:val="34"/>
          <w:szCs w:val="34"/>
        </w:rPr>
        <w:t xml:space="preserve">ection 32 </w:t>
      </w:r>
      <w:r w:rsidR="00030D81" w:rsidRPr="004943B2">
        <w:rPr>
          <w:rFonts w:asciiTheme="minorHAnsi" w:hAnsiTheme="minorHAnsi"/>
          <w:b/>
          <w:bCs/>
          <w:color w:val="1F3364"/>
          <w:sz w:val="34"/>
          <w:szCs w:val="34"/>
        </w:rPr>
        <w:t xml:space="preserve">statement and contract </w:t>
      </w:r>
      <w:r w:rsidR="003F1051" w:rsidRPr="004943B2">
        <w:rPr>
          <w:rFonts w:asciiTheme="minorHAnsi" w:hAnsiTheme="minorHAnsi"/>
          <w:b/>
          <w:bCs/>
          <w:color w:val="1F3364"/>
          <w:sz w:val="34"/>
          <w:szCs w:val="34"/>
        </w:rPr>
        <w:t xml:space="preserve">checklist - </w:t>
      </w:r>
      <w:r w:rsidR="008D3ACB" w:rsidRPr="004943B2">
        <w:rPr>
          <w:rFonts w:asciiTheme="minorHAnsi" w:hAnsiTheme="minorHAnsi"/>
          <w:b/>
          <w:bCs/>
          <w:color w:val="1F3364"/>
          <w:sz w:val="34"/>
          <w:szCs w:val="34"/>
        </w:rPr>
        <w:t>September 2026</w:t>
      </w:r>
    </w:p>
    <w:p w14:paraId="40A1E616" w14:textId="77777777" w:rsidR="008D3ACB" w:rsidRPr="004943B2" w:rsidRDefault="008D3ACB" w:rsidP="00B84943">
      <w:pPr>
        <w:spacing w:after="40"/>
        <w:rPr>
          <w:rFonts w:asciiTheme="minorHAnsi" w:hAnsiTheme="minorHAnsi"/>
        </w:rPr>
      </w:pPr>
    </w:p>
    <w:p w14:paraId="471B4BB9" w14:textId="7753CF66" w:rsidR="00B84943" w:rsidRPr="004943B2" w:rsidRDefault="60F0961C" w:rsidP="00B84943">
      <w:pPr>
        <w:rPr>
          <w:rFonts w:asciiTheme="minorHAnsi" w:hAnsiTheme="minorHAnsi"/>
        </w:rPr>
      </w:pPr>
      <w:r w:rsidRPr="004943B2">
        <w:rPr>
          <w:rFonts w:asciiTheme="minorHAnsi" w:hAnsiTheme="minorHAnsi"/>
        </w:rPr>
        <w:t>This</w:t>
      </w:r>
      <w:r w:rsidR="00B84943" w:rsidRPr="004943B2">
        <w:rPr>
          <w:rFonts w:asciiTheme="minorHAnsi" w:hAnsiTheme="minorHAnsi"/>
        </w:rPr>
        <w:t xml:space="preserve"> checklist </w:t>
      </w:r>
      <w:r w:rsidR="47347142" w:rsidRPr="004943B2">
        <w:rPr>
          <w:rFonts w:asciiTheme="minorHAnsi" w:hAnsiTheme="minorHAnsi"/>
        </w:rPr>
        <w:t>should be used</w:t>
      </w:r>
      <w:r w:rsidR="00B84943" w:rsidRPr="004943B2">
        <w:rPr>
          <w:rFonts w:asciiTheme="minorHAnsi" w:hAnsiTheme="minorHAnsi"/>
        </w:rPr>
        <w:t xml:space="preserve"> after </w:t>
      </w:r>
      <w:proofErr w:type="gramStart"/>
      <w:r w:rsidR="00B84943" w:rsidRPr="004943B2">
        <w:rPr>
          <w:rFonts w:asciiTheme="minorHAnsi" w:hAnsiTheme="minorHAnsi"/>
        </w:rPr>
        <w:t>the section</w:t>
      </w:r>
      <w:proofErr w:type="gramEnd"/>
      <w:r w:rsidR="00B84943" w:rsidRPr="004943B2">
        <w:rPr>
          <w:rFonts w:asciiTheme="minorHAnsi" w:hAnsiTheme="minorHAnsi"/>
        </w:rPr>
        <w:t xml:space="preserve"> 32 statement and the contract have been drafted, and before they are sent to the vendor client for review and signing. </w:t>
      </w:r>
      <w:r w:rsidR="50805053" w:rsidRPr="004943B2">
        <w:rPr>
          <w:rFonts w:asciiTheme="minorHAnsi" w:hAnsiTheme="minorHAnsi"/>
        </w:rPr>
        <w:t>This checklist</w:t>
      </w:r>
      <w:r w:rsidR="00B84943" w:rsidRPr="004943B2">
        <w:rPr>
          <w:rFonts w:asciiTheme="minorHAnsi" w:hAnsiTheme="minorHAnsi"/>
        </w:rPr>
        <w:t xml:space="preserve"> is not </w:t>
      </w:r>
      <w:r w:rsidR="4D6185EE" w:rsidRPr="004943B2">
        <w:rPr>
          <w:rFonts w:asciiTheme="minorHAnsi" w:hAnsiTheme="minorHAnsi"/>
        </w:rPr>
        <w:t xml:space="preserve">an exhaustive list of all issues that you need to </w:t>
      </w:r>
      <w:proofErr w:type="gramStart"/>
      <w:r w:rsidR="4D6185EE" w:rsidRPr="004943B2">
        <w:rPr>
          <w:rFonts w:asciiTheme="minorHAnsi" w:hAnsiTheme="minorHAnsi"/>
        </w:rPr>
        <w:t>consider</w:t>
      </w:r>
      <w:proofErr w:type="gramEnd"/>
      <w:r w:rsidR="4D6185EE" w:rsidRPr="004943B2">
        <w:rPr>
          <w:rFonts w:asciiTheme="minorHAnsi" w:hAnsiTheme="minorHAnsi"/>
        </w:rPr>
        <w:t xml:space="preserve"> and care must be taken when relying exclusively on the checklist to </w:t>
      </w:r>
      <w:proofErr w:type="spellStart"/>
      <w:r w:rsidR="18CA6647" w:rsidRPr="004943B2">
        <w:rPr>
          <w:rFonts w:asciiTheme="minorHAnsi" w:hAnsiTheme="minorHAnsi"/>
        </w:rPr>
        <w:t>finalise</w:t>
      </w:r>
      <w:proofErr w:type="spellEnd"/>
      <w:r w:rsidR="4D6185EE" w:rsidRPr="004943B2">
        <w:rPr>
          <w:rFonts w:asciiTheme="minorHAnsi" w:hAnsiTheme="minorHAnsi"/>
        </w:rPr>
        <w:t xml:space="preserve"> the relevant documentation. </w:t>
      </w:r>
    </w:p>
    <w:p w14:paraId="6E14ABE9" w14:textId="399F7723" w:rsidR="00B84943" w:rsidRPr="004943B2" w:rsidRDefault="00B84943" w:rsidP="6E71641C">
      <w:pPr>
        <w:spacing w:before="120" w:after="160"/>
        <w:rPr>
          <w:rFonts w:asciiTheme="minorHAnsi" w:hAnsiTheme="minorHAnsi"/>
        </w:rPr>
      </w:pPr>
      <w:r w:rsidRPr="004943B2">
        <w:rPr>
          <w:rFonts w:asciiTheme="minorHAnsi" w:hAnsiTheme="minorHAnsi"/>
          <w:b/>
          <w:color w:val="1F3364"/>
          <w:sz w:val="22"/>
        </w:rPr>
        <w:t>How to use this checklist</w:t>
      </w:r>
    </w:p>
    <w:p w14:paraId="32DEA88E" w14:textId="29032F9F" w:rsidR="14AD1EE6" w:rsidRPr="004943B2" w:rsidRDefault="14AD1EE6" w:rsidP="6E71641C">
      <w:pPr>
        <w:spacing w:after="0" w:line="300" w:lineRule="auto"/>
        <w:rPr>
          <w:rFonts w:asciiTheme="minorHAnsi" w:hAnsiTheme="minorHAnsi"/>
        </w:rPr>
      </w:pPr>
      <w:r w:rsidRPr="004943B2">
        <w:rPr>
          <w:rFonts w:asciiTheme="minorHAnsi" w:hAnsiTheme="minorHAnsi"/>
        </w:rPr>
        <w:t>Each row of the checklist contains a statement that a practitioner must assess to determine whether it is applicable. If the statement is applicable, the practitioner must then determine whether the relevant task or requirement has been completed correctly, or whether further investigation or action is required.</w:t>
      </w:r>
    </w:p>
    <w:p w14:paraId="6E2D24A3" w14:textId="77777777" w:rsidR="79A800FB" w:rsidRPr="004943B2" w:rsidRDefault="79A800FB" w:rsidP="0AAF6E96">
      <w:pPr>
        <w:spacing w:after="0" w:line="300" w:lineRule="auto"/>
        <w:rPr>
          <w:rFonts w:asciiTheme="minorHAnsi" w:hAnsiTheme="minorHAnsi"/>
        </w:rPr>
      </w:pPr>
    </w:p>
    <w:p w14:paraId="2A13EB94" w14:textId="6B186B32" w:rsidR="00B84943" w:rsidRPr="004943B2" w:rsidRDefault="00B84943" w:rsidP="0AAF6E96">
      <w:pPr>
        <w:spacing w:after="0" w:line="300" w:lineRule="auto"/>
        <w:rPr>
          <w:rFonts w:asciiTheme="minorHAnsi" w:hAnsiTheme="minorHAnsi"/>
        </w:rPr>
      </w:pPr>
      <w:r w:rsidRPr="004943B2">
        <w:rPr>
          <w:rFonts w:asciiTheme="minorHAnsi" w:hAnsiTheme="minorHAnsi"/>
        </w:rPr>
        <w:t xml:space="preserve">Tick </w:t>
      </w:r>
      <w:r w:rsidR="0BD188B6" w:rsidRPr="004943B2">
        <w:rPr>
          <w:rFonts w:asciiTheme="minorHAnsi" w:hAnsiTheme="minorHAnsi"/>
        </w:rPr>
        <w:t xml:space="preserve">the </w:t>
      </w:r>
      <w:r w:rsidR="00CE5A9F" w:rsidRPr="004943B2">
        <w:rPr>
          <w:rFonts w:asciiTheme="minorHAnsi" w:hAnsiTheme="minorHAnsi"/>
        </w:rPr>
        <w:t>‘</w:t>
      </w:r>
      <w:r w:rsidR="2458B763" w:rsidRPr="004943B2">
        <w:rPr>
          <w:rFonts w:asciiTheme="minorHAnsi" w:hAnsiTheme="minorHAnsi"/>
        </w:rPr>
        <w:t>Done</w:t>
      </w:r>
      <w:r w:rsidR="00CE5A9F" w:rsidRPr="004943B2">
        <w:rPr>
          <w:rFonts w:asciiTheme="minorHAnsi" w:hAnsiTheme="minorHAnsi"/>
        </w:rPr>
        <w:t>’</w:t>
      </w:r>
      <w:r w:rsidR="002F3D5F" w:rsidRPr="004943B2">
        <w:rPr>
          <w:rFonts w:asciiTheme="minorHAnsi" w:hAnsiTheme="minorHAnsi"/>
        </w:rPr>
        <w:t xml:space="preserve"> box</w:t>
      </w:r>
      <w:r w:rsidRPr="004943B2" w:rsidDel="00CE5A9F">
        <w:rPr>
          <w:rFonts w:asciiTheme="minorHAnsi" w:hAnsiTheme="minorHAnsi"/>
        </w:rPr>
        <w:t xml:space="preserve"> </w:t>
      </w:r>
      <w:r w:rsidRPr="004943B2">
        <w:rPr>
          <w:rFonts w:asciiTheme="minorHAnsi" w:hAnsiTheme="minorHAnsi"/>
        </w:rPr>
        <w:t xml:space="preserve">when you have confirmed </w:t>
      </w:r>
      <w:r w:rsidR="690EA5B3" w:rsidRPr="004943B2">
        <w:rPr>
          <w:rFonts w:asciiTheme="minorHAnsi" w:hAnsiTheme="minorHAnsi"/>
        </w:rPr>
        <w:t>the statement is correct</w:t>
      </w:r>
      <w:r w:rsidR="20AC807D" w:rsidRPr="004943B2">
        <w:rPr>
          <w:rFonts w:asciiTheme="minorHAnsi" w:hAnsiTheme="minorHAnsi"/>
        </w:rPr>
        <w:t xml:space="preserve"> </w:t>
      </w:r>
      <w:r w:rsidR="0DFD858D" w:rsidRPr="004943B2">
        <w:rPr>
          <w:rFonts w:asciiTheme="minorHAnsi" w:hAnsiTheme="minorHAnsi"/>
        </w:rPr>
        <w:t>and/</w:t>
      </w:r>
      <w:r w:rsidR="2B165E2B" w:rsidRPr="004943B2">
        <w:rPr>
          <w:rFonts w:asciiTheme="minorHAnsi" w:hAnsiTheme="minorHAnsi"/>
        </w:rPr>
        <w:t>or undertaken the recommended action;</w:t>
      </w:r>
      <w:r w:rsidR="690EA5B3" w:rsidRPr="004943B2">
        <w:rPr>
          <w:rFonts w:asciiTheme="minorHAnsi" w:hAnsiTheme="minorHAnsi"/>
        </w:rPr>
        <w:t xml:space="preserve"> </w:t>
      </w:r>
      <w:r w:rsidRPr="004943B2">
        <w:rPr>
          <w:rFonts w:asciiTheme="minorHAnsi" w:hAnsiTheme="minorHAnsi"/>
        </w:rPr>
        <w:t xml:space="preserve"> </w:t>
      </w:r>
      <w:r w:rsidR="6E88FB98" w:rsidRPr="004943B2">
        <w:rPr>
          <w:rFonts w:asciiTheme="minorHAnsi" w:hAnsiTheme="minorHAnsi"/>
        </w:rPr>
        <w:t xml:space="preserve">the </w:t>
      </w:r>
      <w:r w:rsidR="002F3D5F" w:rsidRPr="004943B2">
        <w:rPr>
          <w:rFonts w:asciiTheme="minorHAnsi" w:hAnsiTheme="minorHAnsi"/>
        </w:rPr>
        <w:t>‘</w:t>
      </w:r>
      <w:r w:rsidRPr="004943B2">
        <w:rPr>
          <w:rFonts w:asciiTheme="minorHAnsi" w:hAnsiTheme="minorHAnsi"/>
        </w:rPr>
        <w:t>N/A</w:t>
      </w:r>
      <w:r w:rsidR="002F3D5F" w:rsidRPr="004943B2">
        <w:rPr>
          <w:rFonts w:asciiTheme="minorHAnsi" w:hAnsiTheme="minorHAnsi"/>
        </w:rPr>
        <w:t>’ box</w:t>
      </w:r>
      <w:r w:rsidRPr="004943B2">
        <w:rPr>
          <w:rFonts w:asciiTheme="minorHAnsi" w:hAnsiTheme="minorHAnsi"/>
        </w:rPr>
        <w:t xml:space="preserve"> whe</w:t>
      </w:r>
      <w:r w:rsidR="258A59FD" w:rsidRPr="004943B2">
        <w:rPr>
          <w:rFonts w:asciiTheme="minorHAnsi" w:hAnsiTheme="minorHAnsi"/>
        </w:rPr>
        <w:t>n</w:t>
      </w:r>
      <w:r w:rsidRPr="004943B2">
        <w:rPr>
          <w:rFonts w:asciiTheme="minorHAnsi" w:hAnsiTheme="minorHAnsi"/>
        </w:rPr>
        <w:t xml:space="preserve"> the </w:t>
      </w:r>
      <w:r w:rsidR="45F5A9D5" w:rsidRPr="004943B2">
        <w:rPr>
          <w:rFonts w:asciiTheme="minorHAnsi" w:hAnsiTheme="minorHAnsi"/>
        </w:rPr>
        <w:t>statement</w:t>
      </w:r>
      <w:r w:rsidRPr="004943B2">
        <w:rPr>
          <w:rFonts w:asciiTheme="minorHAnsi" w:hAnsiTheme="minorHAnsi"/>
        </w:rPr>
        <w:t xml:space="preserve"> does not apply, or</w:t>
      </w:r>
      <w:r w:rsidR="00CF7826" w:rsidRPr="004943B2">
        <w:rPr>
          <w:rFonts w:asciiTheme="minorHAnsi" w:hAnsiTheme="minorHAnsi"/>
        </w:rPr>
        <w:t xml:space="preserve"> the</w:t>
      </w:r>
      <w:r w:rsidRPr="004943B2">
        <w:rPr>
          <w:rFonts w:asciiTheme="minorHAnsi" w:hAnsiTheme="minorHAnsi"/>
        </w:rPr>
        <w:t xml:space="preserve"> </w:t>
      </w:r>
      <w:r w:rsidR="00CF7826" w:rsidRPr="004943B2">
        <w:rPr>
          <w:rFonts w:asciiTheme="minorHAnsi" w:hAnsiTheme="minorHAnsi"/>
        </w:rPr>
        <w:t>‘</w:t>
      </w:r>
      <w:r w:rsidRPr="004943B2">
        <w:rPr>
          <w:rFonts w:asciiTheme="minorHAnsi" w:hAnsiTheme="minorHAnsi"/>
        </w:rPr>
        <w:t>Follow up</w:t>
      </w:r>
      <w:r w:rsidR="00CF7826" w:rsidRPr="004943B2">
        <w:rPr>
          <w:rFonts w:asciiTheme="minorHAnsi" w:hAnsiTheme="minorHAnsi"/>
        </w:rPr>
        <w:t>’ box</w:t>
      </w:r>
      <w:r w:rsidRPr="004943B2">
        <w:rPr>
          <w:rFonts w:asciiTheme="minorHAnsi" w:hAnsiTheme="minorHAnsi"/>
        </w:rPr>
        <w:t xml:space="preserve"> whe</w:t>
      </w:r>
      <w:r w:rsidR="2616BC3D" w:rsidRPr="004943B2">
        <w:rPr>
          <w:rFonts w:asciiTheme="minorHAnsi" w:hAnsiTheme="minorHAnsi"/>
        </w:rPr>
        <w:t>n</w:t>
      </w:r>
      <w:r w:rsidRPr="004943B2">
        <w:rPr>
          <w:rFonts w:asciiTheme="minorHAnsi" w:hAnsiTheme="minorHAnsi"/>
        </w:rPr>
        <w:t xml:space="preserve"> something is outstanding, </w:t>
      </w:r>
      <w:r w:rsidR="00CF7826" w:rsidRPr="004943B2">
        <w:rPr>
          <w:rFonts w:asciiTheme="minorHAnsi" w:hAnsiTheme="minorHAnsi"/>
        </w:rPr>
        <w:t>and fu</w:t>
      </w:r>
      <w:r w:rsidR="5FCBBD2E" w:rsidRPr="004943B2">
        <w:rPr>
          <w:rFonts w:asciiTheme="minorHAnsi" w:hAnsiTheme="minorHAnsi"/>
        </w:rPr>
        <w:t>r</w:t>
      </w:r>
      <w:r w:rsidR="00CF7826" w:rsidRPr="004943B2">
        <w:rPr>
          <w:rFonts w:asciiTheme="minorHAnsi" w:hAnsiTheme="minorHAnsi"/>
        </w:rPr>
        <w:t>ther action needs to be taken</w:t>
      </w:r>
      <w:r w:rsidR="00FC6DBF" w:rsidRPr="004943B2">
        <w:rPr>
          <w:rFonts w:asciiTheme="minorHAnsi" w:hAnsiTheme="minorHAnsi"/>
        </w:rPr>
        <w:t>.</w:t>
      </w:r>
      <w:r w:rsidR="3D3EEF05" w:rsidRPr="004943B2">
        <w:rPr>
          <w:rFonts w:asciiTheme="minorHAnsi" w:hAnsiTheme="minorHAnsi"/>
        </w:rPr>
        <w:t xml:space="preserve"> If further action is required, </w:t>
      </w:r>
      <w:r w:rsidRPr="004943B2">
        <w:rPr>
          <w:rFonts w:asciiTheme="minorHAnsi" w:hAnsiTheme="minorHAnsi"/>
        </w:rPr>
        <w:t>note what</w:t>
      </w:r>
      <w:r w:rsidR="00CF7826" w:rsidRPr="004943B2">
        <w:rPr>
          <w:rFonts w:asciiTheme="minorHAnsi" w:hAnsiTheme="minorHAnsi"/>
        </w:rPr>
        <w:t xml:space="preserve"> needs to be done, by </w:t>
      </w:r>
      <w:r w:rsidRPr="004943B2">
        <w:rPr>
          <w:rFonts w:asciiTheme="minorHAnsi" w:hAnsiTheme="minorHAnsi"/>
        </w:rPr>
        <w:t>who</w:t>
      </w:r>
      <w:r w:rsidR="540D3D7C" w:rsidRPr="004943B2">
        <w:rPr>
          <w:rFonts w:asciiTheme="minorHAnsi" w:hAnsiTheme="minorHAnsi"/>
        </w:rPr>
        <w:t>m and by when.</w:t>
      </w:r>
      <w:r w:rsidR="40E1E9B2" w:rsidRPr="004943B2">
        <w:rPr>
          <w:rFonts w:asciiTheme="minorHAnsi" w:hAnsiTheme="minorHAnsi"/>
        </w:rPr>
        <w:t xml:space="preserve"> </w:t>
      </w:r>
      <w:r w:rsidR="242C9A16" w:rsidRPr="004943B2">
        <w:rPr>
          <w:rFonts w:asciiTheme="minorHAnsi" w:hAnsiTheme="minorHAnsi"/>
        </w:rPr>
        <w:t xml:space="preserve">Any rows that have the “Follow up” box ticked, must be addressed before the documents are </w:t>
      </w:r>
      <w:proofErr w:type="spellStart"/>
      <w:r w:rsidR="242C9A16" w:rsidRPr="004943B2">
        <w:rPr>
          <w:rFonts w:asciiTheme="minorHAnsi" w:hAnsiTheme="minorHAnsi"/>
        </w:rPr>
        <w:t>finalised</w:t>
      </w:r>
      <w:proofErr w:type="spellEnd"/>
      <w:r w:rsidR="242C9A16" w:rsidRPr="004943B2">
        <w:rPr>
          <w:rFonts w:asciiTheme="minorHAnsi" w:hAnsiTheme="minorHAnsi"/>
        </w:rPr>
        <w:t>.</w:t>
      </w:r>
    </w:p>
    <w:p w14:paraId="35BAE546" w14:textId="77777777" w:rsidR="00697FAF" w:rsidRPr="004943B2" w:rsidRDefault="00697FAF" w:rsidP="00B84943">
      <w:pPr>
        <w:spacing w:after="60"/>
        <w:rPr>
          <w:rFonts w:asciiTheme="minorHAnsi" w:hAnsiTheme="minorHAnsi"/>
        </w:rPr>
      </w:pPr>
    </w:p>
    <w:p w14:paraId="39A0414C" w14:textId="7B61D352" w:rsidR="00B84943" w:rsidRPr="004943B2" w:rsidRDefault="00B84943" w:rsidP="00B84943">
      <w:pPr>
        <w:spacing w:after="60"/>
        <w:rPr>
          <w:rFonts w:asciiTheme="minorHAnsi" w:hAnsiTheme="minorHAnsi"/>
        </w:rPr>
      </w:pPr>
      <w:r w:rsidRPr="004943B2">
        <w:rPr>
          <w:rFonts w:asciiTheme="minorHAnsi" w:hAnsiTheme="minorHAnsi"/>
        </w:rPr>
        <w:t xml:space="preserve">The ‘See’ column points to the </w:t>
      </w:r>
      <w:r w:rsidR="00322CC4" w:rsidRPr="004943B2">
        <w:rPr>
          <w:rFonts w:asciiTheme="minorHAnsi" w:hAnsiTheme="minorHAnsi"/>
        </w:rPr>
        <w:t>relevant subsection of</w:t>
      </w:r>
      <w:r w:rsidRPr="004943B2">
        <w:rPr>
          <w:rFonts w:asciiTheme="minorHAnsi" w:hAnsiTheme="minorHAnsi"/>
        </w:rPr>
        <w:t xml:space="preserve"> the </w:t>
      </w:r>
      <w:r w:rsidR="00322CC4" w:rsidRPr="004943B2">
        <w:rPr>
          <w:rFonts w:asciiTheme="minorHAnsi" w:hAnsiTheme="minorHAnsi"/>
        </w:rPr>
        <w:t xml:space="preserve">explanation </w:t>
      </w:r>
      <w:r w:rsidR="00A63726" w:rsidRPr="004943B2">
        <w:rPr>
          <w:rFonts w:asciiTheme="minorHAnsi" w:hAnsiTheme="minorHAnsi"/>
        </w:rPr>
        <w:t>part</w:t>
      </w:r>
      <w:r w:rsidRPr="004943B2">
        <w:rPr>
          <w:rFonts w:asciiTheme="minorHAnsi" w:hAnsiTheme="minorHAnsi"/>
        </w:rPr>
        <w:t xml:space="preserve"> of this </w:t>
      </w:r>
      <w:r w:rsidR="00322CC4" w:rsidRPr="004943B2">
        <w:rPr>
          <w:rFonts w:asciiTheme="minorHAnsi" w:hAnsiTheme="minorHAnsi"/>
        </w:rPr>
        <w:t>checklist,</w:t>
      </w:r>
      <w:r w:rsidR="00F80FE6" w:rsidRPr="004943B2">
        <w:rPr>
          <w:rFonts w:asciiTheme="minorHAnsi" w:hAnsiTheme="minorHAnsi"/>
        </w:rPr>
        <w:t xml:space="preserve"> for example ‘E1’.</w:t>
      </w:r>
      <w:r w:rsidR="007450E9" w:rsidRPr="004943B2">
        <w:rPr>
          <w:rFonts w:asciiTheme="minorHAnsi" w:hAnsiTheme="minorHAnsi"/>
        </w:rPr>
        <w:t xml:space="preserve"> The explanatory part of this checklist explains</w:t>
      </w:r>
      <w:r w:rsidR="00322CC4" w:rsidRPr="004943B2">
        <w:rPr>
          <w:rFonts w:asciiTheme="minorHAnsi" w:hAnsiTheme="minorHAnsi"/>
        </w:rPr>
        <w:t xml:space="preserve"> </w:t>
      </w:r>
      <w:r w:rsidR="007450E9" w:rsidRPr="004943B2">
        <w:rPr>
          <w:rFonts w:asciiTheme="minorHAnsi" w:hAnsiTheme="minorHAnsi"/>
        </w:rPr>
        <w:t xml:space="preserve">why </w:t>
      </w:r>
      <w:r w:rsidR="00322CC4" w:rsidRPr="004943B2">
        <w:rPr>
          <w:rFonts w:asciiTheme="minorHAnsi" w:hAnsiTheme="minorHAnsi"/>
        </w:rPr>
        <w:t>the statement in the checklist is relevant.</w:t>
      </w:r>
      <w:r w:rsidRPr="004943B2" w:rsidDel="00A63726">
        <w:rPr>
          <w:rFonts w:asciiTheme="minorHAnsi" w:hAnsiTheme="minorHAnsi"/>
        </w:rPr>
        <w:t xml:space="preserve"> </w:t>
      </w:r>
      <w:r w:rsidRPr="004943B2">
        <w:rPr>
          <w:rFonts w:asciiTheme="minorHAnsi" w:hAnsiTheme="minorHAnsi"/>
        </w:rPr>
        <w:t xml:space="preserve">Shaded </w:t>
      </w:r>
      <w:r w:rsidR="007450E9" w:rsidRPr="004943B2">
        <w:rPr>
          <w:rFonts w:asciiTheme="minorHAnsi" w:hAnsiTheme="minorHAnsi"/>
        </w:rPr>
        <w:t>parts of the checklist</w:t>
      </w:r>
      <w:r w:rsidRPr="004943B2">
        <w:rPr>
          <w:rFonts w:asciiTheme="minorHAnsi" w:hAnsiTheme="minorHAnsi"/>
        </w:rPr>
        <w:t xml:space="preserve"> marked ‘Only if’ open a block of questions that apply only to some properties. Where the condition does not apply, skip to the end of the block.</w:t>
      </w:r>
    </w:p>
    <w:p w14:paraId="53F5CCD0" w14:textId="77777777" w:rsidR="00B84943" w:rsidRPr="004943B2" w:rsidRDefault="00B84943" w:rsidP="00B84943">
      <w:pPr>
        <w:spacing w:before="80" w:after="100"/>
        <w:rPr>
          <w:rFonts w:asciiTheme="minorHAnsi" w:hAnsiTheme="minorHAnsi"/>
        </w:rPr>
      </w:pPr>
      <w:r w:rsidRPr="004943B2">
        <w:rPr>
          <w:rFonts w:asciiTheme="minorHAnsi" w:hAnsiTheme="minorHAnsi"/>
          <w:b/>
          <w:color w:val="1F3364"/>
          <w:sz w:val="22"/>
        </w:rPr>
        <w:t>In this checklist</w:t>
      </w:r>
    </w:p>
    <w:p w14:paraId="3E62EB2E" w14:textId="77777777" w:rsidR="00B25A28" w:rsidRPr="004943B2" w:rsidRDefault="00E01F2E" w:rsidP="6E71641C">
      <w:pPr>
        <w:pStyle w:val="ListParagraph"/>
        <w:spacing w:after="160"/>
        <w:rPr>
          <w:rFonts w:asciiTheme="minorHAnsi" w:hAnsiTheme="minorHAnsi"/>
        </w:rPr>
      </w:pPr>
      <w:r w:rsidRPr="004943B2">
        <w:rPr>
          <w:rFonts w:asciiTheme="minorHAnsi" w:hAnsiTheme="minorHAnsi"/>
          <w:i/>
        </w:rPr>
        <w:t>Building Act 1993</w:t>
      </w:r>
      <w:r w:rsidRPr="004943B2">
        <w:rPr>
          <w:rFonts w:asciiTheme="minorHAnsi" w:hAnsiTheme="minorHAnsi"/>
        </w:rPr>
        <w:t xml:space="preserve"> (Vic) is referred to as the Building Act. </w:t>
      </w:r>
    </w:p>
    <w:p w14:paraId="37535E62" w14:textId="5646929B" w:rsidR="004B3B7D" w:rsidRPr="004943B2" w:rsidRDefault="004B3B7D" w:rsidP="6E71641C">
      <w:pPr>
        <w:pStyle w:val="ListParagraph"/>
        <w:spacing w:after="160"/>
        <w:rPr>
          <w:rFonts w:asciiTheme="minorHAnsi" w:hAnsiTheme="minorHAnsi"/>
        </w:rPr>
      </w:pPr>
      <w:r w:rsidRPr="004943B2">
        <w:rPr>
          <w:rFonts w:asciiTheme="minorHAnsi" w:hAnsiTheme="minorHAnsi"/>
        </w:rPr>
        <w:t xml:space="preserve">Growth </w:t>
      </w:r>
      <w:r w:rsidR="00583B1F" w:rsidRPr="004943B2">
        <w:rPr>
          <w:rFonts w:asciiTheme="minorHAnsi" w:hAnsiTheme="minorHAnsi"/>
        </w:rPr>
        <w:t>Areas</w:t>
      </w:r>
      <w:r w:rsidR="00D42B91" w:rsidRPr="004943B2">
        <w:rPr>
          <w:rFonts w:asciiTheme="minorHAnsi" w:hAnsiTheme="minorHAnsi"/>
        </w:rPr>
        <w:t xml:space="preserve"> Infrastructure Contribution is referred to as GAIC.</w:t>
      </w:r>
    </w:p>
    <w:p w14:paraId="006D3ED6" w14:textId="56207C74" w:rsidR="00B25A28" w:rsidRPr="004943B2" w:rsidRDefault="00E01F2E" w:rsidP="6E71641C">
      <w:pPr>
        <w:pStyle w:val="ListParagraph"/>
        <w:spacing w:after="160"/>
        <w:rPr>
          <w:rFonts w:asciiTheme="minorHAnsi" w:hAnsiTheme="minorHAnsi"/>
        </w:rPr>
      </w:pPr>
      <w:r w:rsidRPr="004943B2">
        <w:rPr>
          <w:rFonts w:asciiTheme="minorHAnsi" w:hAnsiTheme="minorHAnsi"/>
          <w:i/>
        </w:rPr>
        <w:t>Owners Corporations Act 2006</w:t>
      </w:r>
      <w:r w:rsidRPr="004943B2">
        <w:rPr>
          <w:rFonts w:asciiTheme="minorHAnsi" w:hAnsiTheme="minorHAnsi"/>
        </w:rPr>
        <w:t xml:space="preserve"> (Vic) is referred to as the Owners Corporations Act. </w:t>
      </w:r>
    </w:p>
    <w:p w14:paraId="24F82D5B" w14:textId="77777777" w:rsidR="00B25A28" w:rsidRPr="004943B2" w:rsidRDefault="00E01F2E" w:rsidP="6E71641C">
      <w:pPr>
        <w:pStyle w:val="ListParagraph"/>
        <w:spacing w:after="160"/>
        <w:rPr>
          <w:rFonts w:asciiTheme="minorHAnsi" w:hAnsiTheme="minorHAnsi"/>
        </w:rPr>
      </w:pPr>
      <w:r w:rsidRPr="004943B2">
        <w:rPr>
          <w:rFonts w:asciiTheme="minorHAnsi" w:hAnsiTheme="minorHAnsi"/>
          <w:i/>
        </w:rPr>
        <w:t>Sale of Land Act 1962</w:t>
      </w:r>
      <w:r w:rsidRPr="004943B2">
        <w:rPr>
          <w:rFonts w:asciiTheme="minorHAnsi" w:hAnsiTheme="minorHAnsi"/>
        </w:rPr>
        <w:t xml:space="preserve"> (Vic) is referred to as the Sale of Land Act. </w:t>
      </w:r>
    </w:p>
    <w:p w14:paraId="5F66A272" w14:textId="77777777" w:rsidR="00B25A28" w:rsidRPr="004943B2" w:rsidRDefault="00E01F2E" w:rsidP="6E71641C">
      <w:pPr>
        <w:pStyle w:val="ListParagraph"/>
        <w:spacing w:after="160"/>
        <w:rPr>
          <w:rFonts w:asciiTheme="minorHAnsi" w:hAnsiTheme="minorHAnsi"/>
        </w:rPr>
      </w:pPr>
      <w:r w:rsidRPr="004943B2">
        <w:rPr>
          <w:rFonts w:asciiTheme="minorHAnsi" w:hAnsiTheme="minorHAnsi"/>
        </w:rPr>
        <w:t xml:space="preserve">Commercial and Industrial Property Tax is referred to as CIPT. </w:t>
      </w:r>
    </w:p>
    <w:p w14:paraId="3A277650" w14:textId="77777777" w:rsidR="00B25A28" w:rsidRPr="004943B2" w:rsidRDefault="00E01F2E" w:rsidP="6E71641C">
      <w:pPr>
        <w:pStyle w:val="ListParagraph"/>
        <w:spacing w:after="160"/>
        <w:rPr>
          <w:rFonts w:asciiTheme="minorHAnsi" w:hAnsiTheme="minorHAnsi"/>
        </w:rPr>
      </w:pPr>
      <w:r w:rsidRPr="004943B2">
        <w:rPr>
          <w:rFonts w:asciiTheme="minorHAnsi" w:hAnsiTheme="minorHAnsi"/>
        </w:rPr>
        <w:t>Windfall gains tax is referred to as WGT.</w:t>
      </w:r>
    </w:p>
    <w:p w14:paraId="6A5EC1BE" w14:textId="44CDFB02" w:rsidR="008B1712" w:rsidRPr="004943B2" w:rsidRDefault="00E01F2E" w:rsidP="6E71641C">
      <w:pPr>
        <w:pStyle w:val="ListParagraph"/>
        <w:spacing w:after="160"/>
        <w:rPr>
          <w:rFonts w:asciiTheme="minorHAnsi" w:hAnsiTheme="minorHAnsi"/>
        </w:rPr>
      </w:pPr>
      <w:r w:rsidRPr="004943B2">
        <w:rPr>
          <w:rFonts w:asciiTheme="minorHAnsi" w:hAnsiTheme="minorHAnsi"/>
        </w:rPr>
        <w:t xml:space="preserve">References </w:t>
      </w:r>
      <w:r w:rsidR="007813B4" w:rsidRPr="004943B2">
        <w:rPr>
          <w:rFonts w:asciiTheme="minorHAnsi" w:hAnsiTheme="minorHAnsi"/>
        </w:rPr>
        <w:t>to</w:t>
      </w:r>
      <w:r w:rsidR="003263DC" w:rsidRPr="004943B2">
        <w:rPr>
          <w:rFonts w:asciiTheme="minorHAnsi" w:hAnsiTheme="minorHAnsi"/>
        </w:rPr>
        <w:t xml:space="preserve"> section</w:t>
      </w:r>
      <w:r w:rsidRPr="004943B2">
        <w:rPr>
          <w:rFonts w:asciiTheme="minorHAnsi" w:hAnsiTheme="minorHAnsi"/>
        </w:rPr>
        <w:t xml:space="preserve"> 1.1, 3.4 and so on </w:t>
      </w:r>
      <w:r w:rsidR="006326BE" w:rsidRPr="004943B2">
        <w:rPr>
          <w:rFonts w:asciiTheme="minorHAnsi" w:hAnsiTheme="minorHAnsi"/>
        </w:rPr>
        <w:t xml:space="preserve">in Part 3 of this checklist </w:t>
      </w:r>
      <w:r w:rsidRPr="004943B2">
        <w:rPr>
          <w:rFonts w:asciiTheme="minorHAnsi" w:hAnsiTheme="minorHAnsi"/>
        </w:rPr>
        <w:t xml:space="preserve">are references to the numbered sections of the Law Institute of Victoria (LIV) form of section 32 statement. </w:t>
      </w:r>
    </w:p>
    <w:p w14:paraId="38258E1D" w14:textId="77777777" w:rsidR="008B1712" w:rsidRPr="004943B2" w:rsidRDefault="00E01F2E" w:rsidP="6E71641C">
      <w:pPr>
        <w:pStyle w:val="ListParagraph"/>
        <w:spacing w:after="160"/>
        <w:rPr>
          <w:rFonts w:asciiTheme="minorHAnsi" w:hAnsiTheme="minorHAnsi"/>
        </w:rPr>
      </w:pPr>
      <w:r w:rsidRPr="004943B2">
        <w:rPr>
          <w:rFonts w:asciiTheme="minorHAnsi" w:hAnsiTheme="minorHAnsi"/>
        </w:rPr>
        <w:t xml:space="preserve">GC refers to </w:t>
      </w:r>
      <w:proofErr w:type="gramStart"/>
      <w:r w:rsidRPr="004943B2">
        <w:rPr>
          <w:rFonts w:asciiTheme="minorHAnsi" w:hAnsiTheme="minorHAnsi"/>
        </w:rPr>
        <w:t>a general</w:t>
      </w:r>
      <w:proofErr w:type="gramEnd"/>
      <w:r w:rsidRPr="004943B2">
        <w:rPr>
          <w:rFonts w:asciiTheme="minorHAnsi" w:hAnsiTheme="minorHAnsi"/>
        </w:rPr>
        <w:t xml:space="preserve"> condition of the contract.</w:t>
      </w:r>
    </w:p>
    <w:p w14:paraId="3098118E" w14:textId="03EB6207" w:rsidR="00FA5325" w:rsidRPr="004943B2" w:rsidRDefault="00E01F2E" w:rsidP="6E71641C">
      <w:pPr>
        <w:pStyle w:val="ListParagraph"/>
        <w:spacing w:after="160"/>
        <w:rPr>
          <w:rFonts w:asciiTheme="minorHAnsi" w:hAnsiTheme="minorHAnsi"/>
          <w:lang w:val="en-AU"/>
        </w:rPr>
      </w:pPr>
      <w:r w:rsidRPr="004943B2">
        <w:rPr>
          <w:rFonts w:asciiTheme="minorHAnsi" w:hAnsiTheme="minorHAnsi"/>
        </w:rPr>
        <w:t>It is assumed that the vendor practitioner is using the L</w:t>
      </w:r>
      <w:r w:rsidR="00B25A28" w:rsidRPr="004943B2">
        <w:rPr>
          <w:rFonts w:asciiTheme="minorHAnsi" w:hAnsiTheme="minorHAnsi"/>
        </w:rPr>
        <w:t>IV</w:t>
      </w:r>
      <w:r w:rsidRPr="004943B2">
        <w:rPr>
          <w:rFonts w:asciiTheme="minorHAnsi" w:hAnsiTheme="minorHAnsi"/>
        </w:rPr>
        <w:t xml:space="preserve"> Contract of Sale of Land (September 2025</w:t>
      </w:r>
      <w:r w:rsidR="005E440A">
        <w:rPr>
          <w:rFonts w:asciiTheme="minorHAnsi" w:hAnsiTheme="minorHAnsi"/>
        </w:rPr>
        <w:t xml:space="preserve"> edition</w:t>
      </w:r>
      <w:r w:rsidRPr="004943B2">
        <w:rPr>
          <w:rFonts w:asciiTheme="minorHAnsi" w:hAnsiTheme="minorHAnsi"/>
        </w:rPr>
        <w:t xml:space="preserve">) </w:t>
      </w:r>
      <w:r w:rsidR="005E440A">
        <w:rPr>
          <w:rFonts w:asciiTheme="minorHAnsi" w:hAnsiTheme="minorHAnsi"/>
        </w:rPr>
        <w:t>(LIV Contract)</w:t>
      </w:r>
      <w:r w:rsidRPr="004943B2">
        <w:rPr>
          <w:rFonts w:asciiTheme="minorHAnsi" w:hAnsiTheme="minorHAnsi"/>
        </w:rPr>
        <w:t xml:space="preserve">. If a practitioner is using a different form of contract, extra care should be taken when preparing the contract </w:t>
      </w:r>
      <w:proofErr w:type="gramStart"/>
      <w:r w:rsidRPr="004943B2">
        <w:rPr>
          <w:rFonts w:asciiTheme="minorHAnsi" w:hAnsiTheme="minorHAnsi"/>
        </w:rPr>
        <w:t>of</w:t>
      </w:r>
      <w:proofErr w:type="gramEnd"/>
      <w:r w:rsidRPr="004943B2">
        <w:rPr>
          <w:rFonts w:asciiTheme="minorHAnsi" w:hAnsiTheme="minorHAnsi"/>
        </w:rPr>
        <w:t xml:space="preserve"> sale.</w:t>
      </w:r>
    </w:p>
    <w:p w14:paraId="18E1B012" w14:textId="77777777" w:rsidR="00B84943" w:rsidRPr="004943B2" w:rsidRDefault="00B84943" w:rsidP="00B84943">
      <w:pPr>
        <w:spacing w:before="120" w:after="100"/>
        <w:rPr>
          <w:rFonts w:asciiTheme="minorHAnsi" w:hAnsiTheme="minorHAnsi"/>
        </w:rPr>
      </w:pPr>
      <w:r w:rsidRPr="004943B2">
        <w:rPr>
          <w:rFonts w:asciiTheme="minorHAnsi" w:hAnsiTheme="minorHAnsi"/>
          <w:b/>
          <w:color w:val="1F3364"/>
          <w:sz w:val="24"/>
        </w:rPr>
        <w:t>Matter details</w:t>
      </w:r>
    </w:p>
    <w:tbl>
      <w:tblPr>
        <w:tblStyle w:val="TableGrid"/>
        <w:tblW w:w="10092" w:type="dxa"/>
        <w:tblLayout w:type="fixed"/>
        <w:tblLook w:val="04A0" w:firstRow="1" w:lastRow="0" w:firstColumn="1" w:lastColumn="0" w:noHBand="0" w:noVBand="1"/>
      </w:tblPr>
      <w:tblGrid>
        <w:gridCol w:w="2438"/>
        <w:gridCol w:w="2608"/>
        <w:gridCol w:w="2438"/>
        <w:gridCol w:w="2608"/>
      </w:tblGrid>
      <w:tr w:rsidR="00B84943" w:rsidRPr="004943B2" w14:paraId="62DFA5D5" w14:textId="77777777" w:rsidTr="003D45F0">
        <w:trPr>
          <w:cnfStyle w:val="100000000000" w:firstRow="1" w:lastRow="0" w:firstColumn="0" w:lastColumn="0" w:oddVBand="0" w:evenVBand="0" w:oddHBand="0" w:evenHBand="0" w:firstRowFirstColumn="0" w:firstRowLastColumn="0" w:lastRowFirstColumn="0" w:lastRowLastColumn="0"/>
        </w:trPr>
        <w:tc>
          <w:tcPr>
            <w:tcW w:w="2438" w:type="dxa"/>
            <w:shd w:val="clear" w:color="auto" w:fill="F2F2F2"/>
          </w:tcPr>
          <w:p w14:paraId="252C52F2"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t>Matter reference</w:t>
            </w:r>
          </w:p>
        </w:tc>
        <w:tc>
          <w:tcPr>
            <w:tcW w:w="2608" w:type="dxa"/>
          </w:tcPr>
          <w:p w14:paraId="3076CE6E" w14:textId="77777777" w:rsidR="00B84943" w:rsidRPr="004943B2" w:rsidRDefault="00B84943" w:rsidP="00CF1612">
            <w:pPr>
              <w:spacing w:before="40" w:after="40"/>
              <w:rPr>
                <w:rFonts w:asciiTheme="minorHAnsi" w:hAnsiTheme="minorHAnsi"/>
              </w:rPr>
            </w:pPr>
          </w:p>
        </w:tc>
        <w:tc>
          <w:tcPr>
            <w:tcW w:w="2438" w:type="dxa"/>
            <w:shd w:val="clear" w:color="auto" w:fill="F2F2F2"/>
          </w:tcPr>
          <w:p w14:paraId="58DA147F"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t>Property address</w:t>
            </w:r>
          </w:p>
        </w:tc>
        <w:tc>
          <w:tcPr>
            <w:tcW w:w="2608" w:type="dxa"/>
          </w:tcPr>
          <w:p w14:paraId="4151315D" w14:textId="77777777" w:rsidR="00B84943" w:rsidRPr="004943B2" w:rsidRDefault="00B84943" w:rsidP="00CF1612">
            <w:pPr>
              <w:spacing w:before="40" w:after="40"/>
              <w:rPr>
                <w:rFonts w:asciiTheme="minorHAnsi" w:hAnsiTheme="minorHAnsi"/>
              </w:rPr>
            </w:pPr>
          </w:p>
        </w:tc>
      </w:tr>
      <w:tr w:rsidR="00B84943" w:rsidRPr="004943B2" w14:paraId="4495030A" w14:textId="77777777" w:rsidTr="003D45F0">
        <w:tc>
          <w:tcPr>
            <w:tcW w:w="2438" w:type="dxa"/>
            <w:shd w:val="clear" w:color="auto" w:fill="F2F2F2"/>
          </w:tcPr>
          <w:p w14:paraId="46E5871E"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t>Checklist completed by</w:t>
            </w:r>
          </w:p>
        </w:tc>
        <w:tc>
          <w:tcPr>
            <w:tcW w:w="2608" w:type="dxa"/>
          </w:tcPr>
          <w:p w14:paraId="6E7D5820" w14:textId="77777777" w:rsidR="00B84943" w:rsidRPr="004943B2" w:rsidRDefault="00B84943" w:rsidP="00CF1612">
            <w:pPr>
              <w:spacing w:before="40" w:after="40"/>
              <w:rPr>
                <w:rFonts w:asciiTheme="minorHAnsi" w:hAnsiTheme="minorHAnsi"/>
              </w:rPr>
            </w:pPr>
          </w:p>
        </w:tc>
        <w:tc>
          <w:tcPr>
            <w:tcW w:w="2438" w:type="dxa"/>
            <w:shd w:val="clear" w:color="auto" w:fill="F2F2F2"/>
          </w:tcPr>
          <w:p w14:paraId="59AAA661"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t>Date completed</w:t>
            </w:r>
          </w:p>
        </w:tc>
        <w:tc>
          <w:tcPr>
            <w:tcW w:w="2608" w:type="dxa"/>
          </w:tcPr>
          <w:p w14:paraId="02BDC0AB" w14:textId="77777777" w:rsidR="00B84943" w:rsidRPr="004943B2" w:rsidRDefault="00B84943" w:rsidP="00CF1612">
            <w:pPr>
              <w:spacing w:before="40" w:after="40"/>
              <w:rPr>
                <w:rFonts w:asciiTheme="minorHAnsi" w:hAnsiTheme="minorHAnsi"/>
              </w:rPr>
            </w:pPr>
          </w:p>
        </w:tc>
      </w:tr>
    </w:tbl>
    <w:p w14:paraId="22126113" w14:textId="622A185E" w:rsidR="00B84943" w:rsidRPr="004943B2" w:rsidRDefault="00E01F2E" w:rsidP="799E31B4">
      <w:pPr>
        <w:spacing w:before="280" w:after="240"/>
        <w:rPr>
          <w:rFonts w:asciiTheme="minorHAnsi" w:hAnsiTheme="minorHAnsi"/>
        </w:rPr>
      </w:pPr>
      <w:r w:rsidRPr="004943B2">
        <w:rPr>
          <w:rFonts w:asciiTheme="minorHAnsi" w:hAnsiTheme="minorHAnsi"/>
          <w:b/>
          <w:bCs/>
          <w:color w:val="1F3364"/>
          <w:sz w:val="26"/>
          <w:szCs w:val="26"/>
        </w:rPr>
        <w:lastRenderedPageBreak/>
        <w:t>Part 1  Contract of sale</w:t>
      </w:r>
      <w:r w:rsidR="001E08B0" w:rsidRPr="004943B2">
        <w:rPr>
          <w:rFonts w:asciiTheme="minorHAnsi" w:hAnsiTheme="minorHAnsi"/>
          <w:b/>
          <w:bCs/>
          <w:color w:val="1F3364"/>
          <w:sz w:val="26"/>
          <w:szCs w:val="26"/>
        </w:rPr>
        <w:t xml:space="preserve"> review</w:t>
      </w:r>
    </w:p>
    <w:tbl>
      <w:tblPr>
        <w:tblStyle w:val="TableGrid"/>
        <w:tblW w:w="9865" w:type="dxa"/>
        <w:tblLayout w:type="fixed"/>
        <w:tblLook w:val="04A0" w:firstRow="1" w:lastRow="0" w:firstColumn="1" w:lastColumn="0" w:noHBand="0" w:noVBand="1"/>
      </w:tblPr>
      <w:tblGrid>
        <w:gridCol w:w="567"/>
        <w:gridCol w:w="6520"/>
        <w:gridCol w:w="850"/>
        <w:gridCol w:w="1928"/>
      </w:tblGrid>
      <w:tr w:rsidR="00B84943" w:rsidRPr="004943B2" w14:paraId="4732029A" w14:textId="77777777" w:rsidTr="003D45F0">
        <w:trPr>
          <w:cnfStyle w:val="100000000000" w:firstRow="1" w:lastRow="0" w:firstColumn="0" w:lastColumn="0" w:oddVBand="0" w:evenVBand="0" w:oddHBand="0" w:evenHBand="0" w:firstRowFirstColumn="0" w:firstRowLastColumn="0" w:lastRowFirstColumn="0" w:lastRowLastColumn="0"/>
          <w:cantSplit/>
          <w:tblHeader/>
        </w:trPr>
        <w:tc>
          <w:tcPr>
            <w:tcW w:w="567" w:type="dxa"/>
            <w:shd w:val="clear" w:color="auto" w:fill="E4E8F0"/>
          </w:tcPr>
          <w:p w14:paraId="74FDE192" w14:textId="77777777" w:rsidR="00B84943" w:rsidRPr="004943B2" w:rsidRDefault="00B84943" w:rsidP="00CF1612">
            <w:pPr>
              <w:spacing w:before="40" w:after="40"/>
              <w:rPr>
                <w:rFonts w:asciiTheme="minorHAnsi" w:hAnsiTheme="minorHAnsi"/>
              </w:rPr>
            </w:pPr>
            <w:r w:rsidRPr="004943B2">
              <w:rPr>
                <w:rFonts w:asciiTheme="minorHAnsi" w:hAnsiTheme="minorHAnsi"/>
                <w:b/>
                <w:color w:val="1F3364"/>
                <w:sz w:val="18"/>
              </w:rPr>
              <w:t>No.</w:t>
            </w:r>
          </w:p>
        </w:tc>
        <w:tc>
          <w:tcPr>
            <w:tcW w:w="6520" w:type="dxa"/>
            <w:shd w:val="clear" w:color="auto" w:fill="E4E8F0"/>
          </w:tcPr>
          <w:p w14:paraId="4AC3A655" w14:textId="77777777" w:rsidR="00B84943" w:rsidRPr="004943B2" w:rsidRDefault="00B84943" w:rsidP="00CF1612">
            <w:pPr>
              <w:spacing w:before="40" w:after="40"/>
              <w:rPr>
                <w:rFonts w:asciiTheme="minorHAnsi" w:hAnsiTheme="minorHAnsi"/>
              </w:rPr>
            </w:pPr>
            <w:r w:rsidRPr="004943B2">
              <w:rPr>
                <w:rFonts w:asciiTheme="minorHAnsi" w:hAnsiTheme="minorHAnsi"/>
                <w:b/>
                <w:color w:val="1F3364"/>
                <w:sz w:val="18"/>
              </w:rPr>
              <w:t>Check</w:t>
            </w:r>
          </w:p>
        </w:tc>
        <w:tc>
          <w:tcPr>
            <w:tcW w:w="850" w:type="dxa"/>
            <w:shd w:val="clear" w:color="auto" w:fill="E4E8F0"/>
          </w:tcPr>
          <w:p w14:paraId="4ED0F44D" w14:textId="77777777" w:rsidR="00B84943" w:rsidRPr="004943B2" w:rsidRDefault="00B84943" w:rsidP="00CF1612">
            <w:pPr>
              <w:spacing w:before="40" w:after="40"/>
              <w:rPr>
                <w:rFonts w:asciiTheme="minorHAnsi" w:hAnsiTheme="minorHAnsi"/>
              </w:rPr>
            </w:pPr>
            <w:r w:rsidRPr="004943B2">
              <w:rPr>
                <w:rFonts w:asciiTheme="minorHAnsi" w:hAnsiTheme="minorHAnsi"/>
                <w:b/>
                <w:color w:val="1F3364"/>
                <w:sz w:val="18"/>
              </w:rPr>
              <w:t>See</w:t>
            </w:r>
          </w:p>
        </w:tc>
        <w:tc>
          <w:tcPr>
            <w:tcW w:w="1928" w:type="dxa"/>
            <w:shd w:val="clear" w:color="auto" w:fill="E4E8F0"/>
          </w:tcPr>
          <w:p w14:paraId="41391D9E" w14:textId="77777777" w:rsidR="00B84943" w:rsidRPr="004943B2" w:rsidRDefault="00B84943" w:rsidP="00CF1612">
            <w:pPr>
              <w:spacing w:before="40" w:after="40"/>
              <w:rPr>
                <w:rFonts w:asciiTheme="minorHAnsi" w:hAnsiTheme="minorHAnsi"/>
              </w:rPr>
            </w:pPr>
            <w:r w:rsidRPr="004943B2">
              <w:rPr>
                <w:rFonts w:asciiTheme="minorHAnsi" w:hAnsiTheme="minorHAnsi"/>
                <w:b/>
                <w:color w:val="1F3364"/>
                <w:sz w:val="18"/>
              </w:rPr>
              <w:t>Result</w:t>
            </w:r>
          </w:p>
        </w:tc>
      </w:tr>
      <w:tr w:rsidR="00B84943" w:rsidRPr="004943B2" w14:paraId="28641396" w14:textId="77777777" w:rsidTr="003D45F0">
        <w:trPr>
          <w:cantSplit/>
        </w:trPr>
        <w:tc>
          <w:tcPr>
            <w:tcW w:w="567" w:type="dxa"/>
          </w:tcPr>
          <w:p w14:paraId="649A9D5E"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t>1</w:t>
            </w:r>
          </w:p>
        </w:tc>
        <w:tc>
          <w:tcPr>
            <w:tcW w:w="6520" w:type="dxa"/>
          </w:tcPr>
          <w:p w14:paraId="1A940DAC" w14:textId="4A55BE95" w:rsidR="00B84943" w:rsidRPr="004943B2" w:rsidRDefault="00B84943" w:rsidP="00CF1612">
            <w:pPr>
              <w:spacing w:before="40" w:after="40"/>
              <w:rPr>
                <w:rFonts w:asciiTheme="minorHAnsi" w:hAnsiTheme="minorHAnsi"/>
              </w:rPr>
            </w:pPr>
            <w:r w:rsidRPr="004943B2">
              <w:rPr>
                <w:rFonts w:asciiTheme="minorHAnsi" w:hAnsiTheme="minorHAnsi"/>
              </w:rPr>
              <w:t xml:space="preserve">The </w:t>
            </w:r>
            <w:r w:rsidRPr="004943B2">
              <w:rPr>
                <w:rFonts w:asciiTheme="minorHAnsi" w:hAnsiTheme="minorHAnsi"/>
                <w:b/>
                <w:bCs/>
              </w:rPr>
              <w:t>street address</w:t>
            </w:r>
            <w:r w:rsidRPr="004943B2">
              <w:rPr>
                <w:rFonts w:asciiTheme="minorHAnsi" w:hAnsiTheme="minorHAnsi"/>
              </w:rPr>
              <w:t xml:space="preserve"> on the front page of the contract matches the register search statement and the client’s instructions.</w:t>
            </w:r>
          </w:p>
        </w:tc>
        <w:tc>
          <w:tcPr>
            <w:tcW w:w="850" w:type="dxa"/>
          </w:tcPr>
          <w:p w14:paraId="3CDD2FE3"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E1</w:t>
            </w:r>
          </w:p>
        </w:tc>
        <w:tc>
          <w:tcPr>
            <w:tcW w:w="1928" w:type="dxa"/>
          </w:tcPr>
          <w:p w14:paraId="0C82FE58" w14:textId="1632D777" w:rsidR="00B84943" w:rsidRPr="004943B2" w:rsidRDefault="00B84943" w:rsidP="00CF1612">
            <w:pPr>
              <w:spacing w:after="0"/>
              <w:rPr>
                <w:rFonts w:asciiTheme="minorHAnsi" w:hAnsiTheme="minorHAnsi"/>
              </w:rPr>
            </w:pPr>
            <w:r w:rsidRPr="004943B2">
              <w:rPr>
                <w:rFonts w:asciiTheme="minorHAnsi" w:hAnsiTheme="minorHAnsi"/>
                <w:sz w:val="18"/>
                <w:szCs w:val="18"/>
              </w:rPr>
              <w:t xml:space="preserve">Done  </w:t>
            </w:r>
            <w:r w:rsidRPr="004943B2">
              <w:rPr>
                <w:rFonts w:asciiTheme="minorHAnsi" w:hAnsiTheme="minorHAnsi" w:cs="Segoe UI Symbol"/>
                <w:sz w:val="18"/>
                <w:szCs w:val="18"/>
              </w:rPr>
              <w:t>☐</w:t>
            </w:r>
          </w:p>
          <w:p w14:paraId="18643882"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57D89217"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2A696568"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6A3A3E89" w14:textId="77777777" w:rsidTr="003D45F0">
        <w:trPr>
          <w:cantSplit/>
        </w:trPr>
        <w:tc>
          <w:tcPr>
            <w:tcW w:w="567" w:type="dxa"/>
          </w:tcPr>
          <w:p w14:paraId="22501BF0"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t>2</w:t>
            </w:r>
          </w:p>
        </w:tc>
        <w:tc>
          <w:tcPr>
            <w:tcW w:w="6520" w:type="dxa"/>
          </w:tcPr>
          <w:p w14:paraId="764C93BC" w14:textId="7E6BE1D8" w:rsidR="00B84943" w:rsidRPr="004943B2" w:rsidRDefault="00E01F2E" w:rsidP="00A46432">
            <w:pPr>
              <w:spacing w:before="40" w:after="40"/>
              <w:rPr>
                <w:rFonts w:asciiTheme="minorHAnsi" w:hAnsiTheme="minorHAnsi"/>
                <w:lang w:val="en-AU"/>
              </w:rPr>
            </w:pPr>
            <w:r w:rsidRPr="004943B2">
              <w:rPr>
                <w:rFonts w:asciiTheme="minorHAnsi" w:hAnsiTheme="minorHAnsi"/>
              </w:rPr>
              <w:t xml:space="preserve">The </w:t>
            </w:r>
            <w:r w:rsidRPr="004943B2">
              <w:rPr>
                <w:rFonts w:asciiTheme="minorHAnsi" w:hAnsiTheme="minorHAnsi"/>
                <w:b/>
                <w:bCs/>
              </w:rPr>
              <w:t>signing clauses</w:t>
            </w:r>
            <w:r w:rsidRPr="004943B2">
              <w:rPr>
                <w:rFonts w:asciiTheme="minorHAnsi" w:hAnsiTheme="minorHAnsi"/>
              </w:rPr>
              <w:t xml:space="preserve"> are correct for </w:t>
            </w:r>
            <w:r w:rsidR="006C706F" w:rsidRPr="004943B2">
              <w:rPr>
                <w:rFonts w:asciiTheme="minorHAnsi" w:hAnsiTheme="minorHAnsi"/>
              </w:rPr>
              <w:t>how</w:t>
            </w:r>
            <w:r w:rsidRPr="004943B2">
              <w:rPr>
                <w:rFonts w:asciiTheme="minorHAnsi" w:hAnsiTheme="minorHAnsi"/>
              </w:rPr>
              <w:t xml:space="preserve"> the vendor holds the land. The authority of any person signing under power of attorney, as a directo</w:t>
            </w:r>
            <w:r w:rsidR="006C706F" w:rsidRPr="004943B2">
              <w:rPr>
                <w:rFonts w:asciiTheme="minorHAnsi" w:hAnsiTheme="minorHAnsi"/>
              </w:rPr>
              <w:t xml:space="preserve">r of a </w:t>
            </w:r>
            <w:r w:rsidR="00225411" w:rsidRPr="004943B2">
              <w:rPr>
                <w:rFonts w:asciiTheme="minorHAnsi" w:hAnsiTheme="minorHAnsi"/>
              </w:rPr>
              <w:t>company</w:t>
            </w:r>
            <w:r w:rsidRPr="004943B2">
              <w:rPr>
                <w:rFonts w:asciiTheme="minorHAnsi" w:hAnsiTheme="minorHAnsi"/>
              </w:rPr>
              <w:t>, as an executor or administrator, or as an agent is noted beneath the signature clause</w:t>
            </w:r>
            <w:r w:rsidR="00225411" w:rsidRPr="004943B2">
              <w:rPr>
                <w:rFonts w:asciiTheme="minorHAnsi" w:hAnsiTheme="minorHAnsi"/>
              </w:rPr>
              <w:t>.</w:t>
            </w:r>
          </w:p>
        </w:tc>
        <w:tc>
          <w:tcPr>
            <w:tcW w:w="850" w:type="dxa"/>
          </w:tcPr>
          <w:p w14:paraId="72CC936C"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E7</w:t>
            </w:r>
          </w:p>
        </w:tc>
        <w:tc>
          <w:tcPr>
            <w:tcW w:w="1928" w:type="dxa"/>
          </w:tcPr>
          <w:p w14:paraId="2D408774" w14:textId="3780B6D0" w:rsidR="00B84943" w:rsidRPr="004943B2" w:rsidRDefault="00B84943" w:rsidP="00CF1612">
            <w:pPr>
              <w:spacing w:after="0"/>
              <w:rPr>
                <w:rFonts w:asciiTheme="minorHAnsi" w:hAnsiTheme="minorHAnsi"/>
              </w:rPr>
            </w:pPr>
            <w:r w:rsidRPr="004943B2">
              <w:rPr>
                <w:rFonts w:asciiTheme="minorHAnsi" w:hAnsiTheme="minorHAnsi"/>
                <w:sz w:val="18"/>
                <w:szCs w:val="18"/>
              </w:rPr>
              <w:t xml:space="preserve">Done  </w:t>
            </w:r>
            <w:r w:rsidRPr="004943B2">
              <w:rPr>
                <w:rFonts w:asciiTheme="minorHAnsi" w:hAnsiTheme="minorHAnsi" w:cs="Segoe UI Symbol"/>
                <w:sz w:val="18"/>
                <w:szCs w:val="18"/>
              </w:rPr>
              <w:t>☐</w:t>
            </w:r>
          </w:p>
          <w:p w14:paraId="1F99324D"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532B808C"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46EF6D20"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1D91B33B" w14:textId="77777777" w:rsidTr="003D45F0">
        <w:trPr>
          <w:cantSplit/>
        </w:trPr>
        <w:tc>
          <w:tcPr>
            <w:tcW w:w="567" w:type="dxa"/>
          </w:tcPr>
          <w:p w14:paraId="577E0CC6"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t>3</w:t>
            </w:r>
          </w:p>
        </w:tc>
        <w:tc>
          <w:tcPr>
            <w:tcW w:w="6520" w:type="dxa"/>
          </w:tcPr>
          <w:p w14:paraId="19BCDD33" w14:textId="1DD90A93" w:rsidR="00B84943" w:rsidRPr="004943B2" w:rsidRDefault="00B84943" w:rsidP="00CF1612">
            <w:pPr>
              <w:spacing w:before="40" w:after="40"/>
              <w:rPr>
                <w:rFonts w:asciiTheme="minorHAnsi" w:hAnsiTheme="minorHAnsi"/>
              </w:rPr>
            </w:pPr>
            <w:r w:rsidRPr="004943B2">
              <w:rPr>
                <w:rFonts w:asciiTheme="minorHAnsi" w:hAnsiTheme="minorHAnsi"/>
              </w:rPr>
              <w:t>Where a vendor is to sign the</w:t>
            </w:r>
            <w:r w:rsidR="0082286F" w:rsidRPr="004943B2">
              <w:rPr>
                <w:rFonts w:asciiTheme="minorHAnsi" w:hAnsiTheme="minorHAnsi"/>
              </w:rPr>
              <w:t xml:space="preserve"> contract and the</w:t>
            </w:r>
            <w:r w:rsidRPr="004943B2">
              <w:rPr>
                <w:rFonts w:asciiTheme="minorHAnsi" w:hAnsiTheme="minorHAnsi"/>
              </w:rPr>
              <w:t xml:space="preserve"> section 32 statement under </w:t>
            </w:r>
            <w:r w:rsidRPr="004943B2">
              <w:rPr>
                <w:rFonts w:asciiTheme="minorHAnsi" w:hAnsiTheme="minorHAnsi"/>
                <w:b/>
                <w:bCs/>
              </w:rPr>
              <w:t>power of attorney</w:t>
            </w:r>
            <w:r w:rsidRPr="004943B2">
              <w:rPr>
                <w:rFonts w:asciiTheme="minorHAnsi" w:hAnsiTheme="minorHAnsi"/>
              </w:rPr>
              <w:t xml:space="preserve">, the instrument has been reviewed and it </w:t>
            </w:r>
            <w:proofErr w:type="spellStart"/>
            <w:r w:rsidRPr="004943B2">
              <w:rPr>
                <w:rFonts w:asciiTheme="minorHAnsi" w:hAnsiTheme="minorHAnsi"/>
              </w:rPr>
              <w:t>authorises</w:t>
            </w:r>
            <w:proofErr w:type="spellEnd"/>
            <w:r w:rsidRPr="004943B2">
              <w:rPr>
                <w:rFonts w:asciiTheme="minorHAnsi" w:hAnsiTheme="minorHAnsi"/>
              </w:rPr>
              <w:t xml:space="preserve"> the sale of this land, any condition or limit on the power is satisfied, and the signing clauses in the contract match the required attorney signatories.</w:t>
            </w:r>
          </w:p>
        </w:tc>
        <w:tc>
          <w:tcPr>
            <w:tcW w:w="850" w:type="dxa"/>
          </w:tcPr>
          <w:p w14:paraId="7D7EBC20"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E7</w:t>
            </w:r>
          </w:p>
        </w:tc>
        <w:tc>
          <w:tcPr>
            <w:tcW w:w="1928" w:type="dxa"/>
          </w:tcPr>
          <w:p w14:paraId="02040639" w14:textId="1EC8B9D8" w:rsidR="00B84943" w:rsidRPr="004943B2" w:rsidRDefault="00B84943" w:rsidP="00CF1612">
            <w:pPr>
              <w:spacing w:after="0"/>
              <w:rPr>
                <w:rFonts w:asciiTheme="minorHAnsi" w:hAnsiTheme="minorHAnsi" w:cs="Segoe UI Symbol"/>
                <w:sz w:val="18"/>
                <w:szCs w:val="18"/>
              </w:rPr>
            </w:pPr>
            <w:r w:rsidRPr="004943B2">
              <w:rPr>
                <w:rFonts w:asciiTheme="minorHAnsi" w:hAnsiTheme="minorHAnsi"/>
                <w:sz w:val="18"/>
                <w:szCs w:val="18"/>
              </w:rPr>
              <w:t xml:space="preserve">Done </w:t>
            </w:r>
            <w:r w:rsidRPr="004943B2">
              <w:rPr>
                <w:rFonts w:asciiTheme="minorHAnsi" w:hAnsiTheme="minorHAnsi" w:cs="Segoe UI Symbol"/>
                <w:sz w:val="18"/>
                <w:szCs w:val="18"/>
              </w:rPr>
              <w:t>☐</w:t>
            </w:r>
          </w:p>
          <w:p w14:paraId="6F6F7014"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212B9207"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1F8DCA2C"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7468E73F" w14:textId="77777777" w:rsidTr="003D45F0">
        <w:trPr>
          <w:cantSplit/>
        </w:trPr>
        <w:tc>
          <w:tcPr>
            <w:tcW w:w="567" w:type="dxa"/>
          </w:tcPr>
          <w:p w14:paraId="7995AF94"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t>4</w:t>
            </w:r>
          </w:p>
        </w:tc>
        <w:tc>
          <w:tcPr>
            <w:tcW w:w="6520" w:type="dxa"/>
          </w:tcPr>
          <w:p w14:paraId="7E7DB61A" w14:textId="58DD1034" w:rsidR="00B84943" w:rsidRPr="004943B2" w:rsidRDefault="00B84943" w:rsidP="00CF1612">
            <w:pPr>
              <w:spacing w:before="40" w:after="40"/>
              <w:rPr>
                <w:rFonts w:asciiTheme="minorHAnsi" w:hAnsiTheme="minorHAnsi"/>
              </w:rPr>
            </w:pPr>
            <w:r w:rsidRPr="004943B2">
              <w:rPr>
                <w:rFonts w:asciiTheme="minorHAnsi" w:hAnsiTheme="minorHAnsi"/>
              </w:rPr>
              <w:t xml:space="preserve">Where the vendor is a </w:t>
            </w:r>
            <w:r w:rsidRPr="004943B2">
              <w:rPr>
                <w:rFonts w:asciiTheme="minorHAnsi" w:hAnsiTheme="minorHAnsi"/>
                <w:b/>
                <w:bCs/>
              </w:rPr>
              <w:t>company</w:t>
            </w:r>
            <w:r w:rsidRPr="004943B2">
              <w:rPr>
                <w:rFonts w:asciiTheme="minorHAnsi" w:hAnsiTheme="minorHAnsi"/>
              </w:rPr>
              <w:t>, a</w:t>
            </w:r>
            <w:r w:rsidR="0070266A" w:rsidRPr="004943B2">
              <w:rPr>
                <w:rFonts w:asciiTheme="minorHAnsi" w:hAnsiTheme="minorHAnsi"/>
              </w:rPr>
              <w:t xml:space="preserve"> company</w:t>
            </w:r>
            <w:r w:rsidRPr="004943B2">
              <w:rPr>
                <w:rFonts w:asciiTheme="minorHAnsi" w:hAnsiTheme="minorHAnsi"/>
              </w:rPr>
              <w:t xml:space="preserve"> search has been obtained confirming the company is registered and is not deregistered</w:t>
            </w:r>
            <w:r w:rsidR="0092759F" w:rsidRPr="004943B2">
              <w:rPr>
                <w:rFonts w:asciiTheme="minorHAnsi" w:hAnsiTheme="minorHAnsi"/>
              </w:rPr>
              <w:t>,</w:t>
            </w:r>
            <w:r w:rsidR="001233E5" w:rsidRPr="004943B2">
              <w:rPr>
                <w:rFonts w:asciiTheme="minorHAnsi" w:hAnsiTheme="minorHAnsi"/>
              </w:rPr>
              <w:t xml:space="preserve"> not</w:t>
            </w:r>
            <w:r w:rsidRPr="004943B2">
              <w:rPr>
                <w:rFonts w:asciiTheme="minorHAnsi" w:hAnsiTheme="minorHAnsi"/>
              </w:rPr>
              <w:t xml:space="preserve"> under external administration</w:t>
            </w:r>
            <w:r w:rsidR="0092759F" w:rsidRPr="004943B2">
              <w:rPr>
                <w:rFonts w:asciiTheme="minorHAnsi" w:hAnsiTheme="minorHAnsi"/>
              </w:rPr>
              <w:t xml:space="preserve"> or in liquidation</w:t>
            </w:r>
            <w:r w:rsidRPr="004943B2">
              <w:rPr>
                <w:rFonts w:asciiTheme="minorHAnsi" w:hAnsiTheme="minorHAnsi"/>
              </w:rPr>
              <w:t>, and it has been confirmed who the officers are and who has authority to sign the contract.</w:t>
            </w:r>
          </w:p>
        </w:tc>
        <w:tc>
          <w:tcPr>
            <w:tcW w:w="850" w:type="dxa"/>
          </w:tcPr>
          <w:p w14:paraId="37BFEEAB"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E7</w:t>
            </w:r>
          </w:p>
        </w:tc>
        <w:tc>
          <w:tcPr>
            <w:tcW w:w="1928" w:type="dxa"/>
          </w:tcPr>
          <w:p w14:paraId="5933ED43" w14:textId="7F1A7C4E" w:rsidR="00B84943" w:rsidRPr="004943B2" w:rsidRDefault="00B84943" w:rsidP="00CF1612">
            <w:pPr>
              <w:spacing w:after="0"/>
              <w:rPr>
                <w:rFonts w:asciiTheme="minorHAnsi" w:hAnsiTheme="minorHAnsi" w:cs="Segoe UI Symbol"/>
                <w:sz w:val="18"/>
                <w:szCs w:val="18"/>
              </w:rPr>
            </w:pPr>
            <w:r w:rsidRPr="004943B2">
              <w:rPr>
                <w:rFonts w:asciiTheme="minorHAnsi" w:hAnsiTheme="minorHAnsi"/>
                <w:sz w:val="18"/>
                <w:szCs w:val="18"/>
              </w:rPr>
              <w:t xml:space="preserve">Done </w:t>
            </w:r>
            <w:r w:rsidRPr="004943B2">
              <w:rPr>
                <w:rFonts w:asciiTheme="minorHAnsi" w:hAnsiTheme="minorHAnsi" w:cs="Segoe UI Symbol"/>
                <w:sz w:val="18"/>
                <w:szCs w:val="18"/>
              </w:rPr>
              <w:t>☐</w:t>
            </w:r>
          </w:p>
          <w:p w14:paraId="382206B2"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0C67AEF6"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00AFD41C"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2852A086" w14:textId="77777777" w:rsidTr="003D45F0">
        <w:trPr>
          <w:cantSplit/>
        </w:trPr>
        <w:tc>
          <w:tcPr>
            <w:tcW w:w="567" w:type="dxa"/>
          </w:tcPr>
          <w:p w14:paraId="777C5B1D"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t>5</w:t>
            </w:r>
          </w:p>
        </w:tc>
        <w:tc>
          <w:tcPr>
            <w:tcW w:w="6520" w:type="dxa"/>
          </w:tcPr>
          <w:p w14:paraId="78C05D3F" w14:textId="69AF995C" w:rsidR="00B84943" w:rsidRPr="004943B2" w:rsidRDefault="00B84943" w:rsidP="00CF1612">
            <w:pPr>
              <w:spacing w:before="40" w:after="40"/>
              <w:rPr>
                <w:rFonts w:asciiTheme="minorHAnsi" w:hAnsiTheme="minorHAnsi"/>
              </w:rPr>
            </w:pPr>
            <w:r w:rsidRPr="004943B2">
              <w:rPr>
                <w:rFonts w:asciiTheme="minorHAnsi" w:hAnsiTheme="minorHAnsi"/>
              </w:rPr>
              <w:t xml:space="preserve">Where the vendor is not the registered proprietor, a correct copy of the vendor’s </w:t>
            </w:r>
            <w:r w:rsidRPr="004943B2">
              <w:rPr>
                <w:rFonts w:asciiTheme="minorHAnsi" w:hAnsiTheme="minorHAnsi"/>
                <w:b/>
                <w:bCs/>
              </w:rPr>
              <w:t>right or power to sell is annexed</w:t>
            </w:r>
            <w:r w:rsidRPr="004943B2">
              <w:rPr>
                <w:rFonts w:asciiTheme="minorHAnsi" w:hAnsiTheme="minorHAnsi"/>
              </w:rPr>
              <w:t xml:space="preserve"> to </w:t>
            </w:r>
            <w:proofErr w:type="gramStart"/>
            <w:r w:rsidRPr="004943B2">
              <w:rPr>
                <w:rFonts w:asciiTheme="minorHAnsi" w:hAnsiTheme="minorHAnsi"/>
              </w:rPr>
              <w:t>the section</w:t>
            </w:r>
            <w:proofErr w:type="gramEnd"/>
            <w:r w:rsidRPr="004943B2">
              <w:rPr>
                <w:rFonts w:asciiTheme="minorHAnsi" w:hAnsiTheme="minorHAnsi"/>
              </w:rPr>
              <w:t xml:space="preserve"> 32 statement (</w:t>
            </w:r>
            <w:proofErr w:type="spellStart"/>
            <w:r w:rsidRPr="004943B2">
              <w:rPr>
                <w:rFonts w:asciiTheme="minorHAnsi" w:hAnsiTheme="minorHAnsi"/>
              </w:rPr>
              <w:t>eg</w:t>
            </w:r>
            <w:proofErr w:type="spellEnd"/>
            <w:r w:rsidRPr="004943B2">
              <w:rPr>
                <w:rFonts w:asciiTheme="minorHAnsi" w:hAnsiTheme="minorHAnsi"/>
              </w:rPr>
              <w:t xml:space="preserve"> grant of probate, power of attorney).</w:t>
            </w:r>
          </w:p>
        </w:tc>
        <w:tc>
          <w:tcPr>
            <w:tcW w:w="850" w:type="dxa"/>
          </w:tcPr>
          <w:p w14:paraId="06C62184"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E3</w:t>
            </w:r>
          </w:p>
        </w:tc>
        <w:tc>
          <w:tcPr>
            <w:tcW w:w="1928" w:type="dxa"/>
          </w:tcPr>
          <w:p w14:paraId="7A008085" w14:textId="798857C6" w:rsidR="00B84943" w:rsidRPr="004943B2" w:rsidRDefault="00B84943" w:rsidP="00CF1612">
            <w:pPr>
              <w:spacing w:after="0"/>
              <w:rPr>
                <w:rFonts w:asciiTheme="minorHAnsi" w:hAnsiTheme="minorHAnsi"/>
              </w:rPr>
            </w:pPr>
            <w:r w:rsidRPr="004943B2">
              <w:rPr>
                <w:rFonts w:asciiTheme="minorHAnsi" w:hAnsiTheme="minorHAnsi"/>
                <w:sz w:val="18"/>
                <w:szCs w:val="18"/>
              </w:rPr>
              <w:t xml:space="preserve">Done </w:t>
            </w:r>
            <w:r w:rsidRPr="004943B2">
              <w:rPr>
                <w:rFonts w:asciiTheme="minorHAnsi" w:hAnsiTheme="minorHAnsi" w:cs="Segoe UI Symbol"/>
                <w:sz w:val="18"/>
                <w:szCs w:val="18"/>
              </w:rPr>
              <w:t>☐</w:t>
            </w:r>
          </w:p>
          <w:p w14:paraId="004F57AB"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7EE2FD94"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65271B63"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3FD44501" w14:textId="77777777" w:rsidTr="003D45F0">
        <w:trPr>
          <w:cantSplit/>
        </w:trPr>
        <w:tc>
          <w:tcPr>
            <w:tcW w:w="567" w:type="dxa"/>
          </w:tcPr>
          <w:p w14:paraId="04E4FC51"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t>6</w:t>
            </w:r>
          </w:p>
        </w:tc>
        <w:tc>
          <w:tcPr>
            <w:tcW w:w="6520" w:type="dxa"/>
          </w:tcPr>
          <w:p w14:paraId="5FB0556A" w14:textId="69FC657E" w:rsidR="00B84943" w:rsidRPr="004943B2" w:rsidRDefault="00E01F2E" w:rsidP="006D3546">
            <w:pPr>
              <w:spacing w:before="40" w:after="40"/>
              <w:rPr>
                <w:rFonts w:asciiTheme="minorHAnsi" w:hAnsiTheme="minorHAnsi"/>
                <w:lang w:val="en-AU"/>
              </w:rPr>
            </w:pPr>
            <w:r w:rsidRPr="004943B2">
              <w:rPr>
                <w:rFonts w:asciiTheme="minorHAnsi" w:hAnsiTheme="minorHAnsi"/>
              </w:rPr>
              <w:t xml:space="preserve">Check the </w:t>
            </w:r>
            <w:r w:rsidRPr="004943B2">
              <w:rPr>
                <w:rFonts w:asciiTheme="minorHAnsi" w:hAnsiTheme="minorHAnsi"/>
                <w:b/>
                <w:bCs/>
              </w:rPr>
              <w:t>title particulars</w:t>
            </w:r>
            <w:r w:rsidRPr="004943B2">
              <w:rPr>
                <w:rFonts w:asciiTheme="minorHAnsi" w:hAnsiTheme="minorHAnsi"/>
              </w:rPr>
              <w:t xml:space="preserve"> in the contract against the register search statement and the client’s instructions. Where the property consists of multiple lots, ensure that the title details in the particulars of sale in the contract reflect the </w:t>
            </w:r>
            <w:proofErr w:type="gramStart"/>
            <w:r w:rsidRPr="004943B2">
              <w:rPr>
                <w:rFonts w:asciiTheme="minorHAnsi" w:hAnsiTheme="minorHAnsi"/>
              </w:rPr>
              <w:t>lots</w:t>
            </w:r>
            <w:proofErr w:type="gramEnd"/>
            <w:r w:rsidRPr="004943B2">
              <w:rPr>
                <w:rFonts w:asciiTheme="minorHAnsi" w:hAnsiTheme="minorHAnsi"/>
              </w:rPr>
              <w:t xml:space="preserve"> or interest that the vendor intends to sell. Take particular care where separate titles for a car parking space, storage space or any interest title</w:t>
            </w:r>
            <w:r w:rsidR="00DE6D0A">
              <w:rPr>
                <w:rFonts w:asciiTheme="minorHAnsi" w:hAnsiTheme="minorHAnsi"/>
              </w:rPr>
              <w:t>s</w:t>
            </w:r>
            <w:r w:rsidRPr="004943B2">
              <w:rPr>
                <w:rFonts w:asciiTheme="minorHAnsi" w:hAnsiTheme="minorHAnsi"/>
              </w:rPr>
              <w:t xml:space="preserve"> are identified. Also check whether multiple crown allotments are on the title and the client has confirmed which crown allotments are being sold.</w:t>
            </w:r>
            <w:r w:rsidR="00E41F27" w:rsidRPr="004943B2">
              <w:rPr>
                <w:rFonts w:asciiTheme="minorHAnsi" w:hAnsiTheme="minorHAnsi"/>
              </w:rPr>
              <w:t xml:space="preserve"> </w:t>
            </w:r>
            <w:r w:rsidR="00F00525" w:rsidRPr="004943B2">
              <w:rPr>
                <w:rFonts w:asciiTheme="minorHAnsi" w:hAnsiTheme="minorHAnsi"/>
              </w:rPr>
              <w:t>C</w:t>
            </w:r>
            <w:r w:rsidR="00E41F27" w:rsidRPr="004943B2">
              <w:rPr>
                <w:rFonts w:asciiTheme="minorHAnsi" w:hAnsiTheme="minorHAnsi"/>
              </w:rPr>
              <w:t xml:space="preserve">onsider obtaining a name search to identify other possible </w:t>
            </w:r>
            <w:r w:rsidR="00C53AA7" w:rsidRPr="004943B2">
              <w:rPr>
                <w:rFonts w:asciiTheme="minorHAnsi" w:hAnsiTheme="minorHAnsi"/>
              </w:rPr>
              <w:t>title details that may form part of the property to be sold.</w:t>
            </w:r>
          </w:p>
        </w:tc>
        <w:tc>
          <w:tcPr>
            <w:tcW w:w="850" w:type="dxa"/>
          </w:tcPr>
          <w:p w14:paraId="0AC9A0DF"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E1, E2</w:t>
            </w:r>
          </w:p>
        </w:tc>
        <w:tc>
          <w:tcPr>
            <w:tcW w:w="1928" w:type="dxa"/>
          </w:tcPr>
          <w:p w14:paraId="742D4AEC" w14:textId="7E9C4927" w:rsidR="00B84943" w:rsidRPr="004943B2" w:rsidRDefault="00B84943" w:rsidP="00CF1612">
            <w:pPr>
              <w:spacing w:after="0"/>
              <w:rPr>
                <w:rFonts w:asciiTheme="minorHAnsi" w:hAnsiTheme="minorHAnsi"/>
              </w:rPr>
            </w:pPr>
            <w:r w:rsidRPr="004943B2">
              <w:rPr>
                <w:rFonts w:asciiTheme="minorHAnsi" w:hAnsiTheme="minorHAnsi"/>
                <w:sz w:val="18"/>
                <w:szCs w:val="18"/>
              </w:rPr>
              <w:t xml:space="preserve">Done  </w:t>
            </w:r>
            <w:r w:rsidRPr="004943B2">
              <w:rPr>
                <w:rFonts w:asciiTheme="minorHAnsi" w:hAnsiTheme="minorHAnsi" w:cs="Segoe UI Symbol"/>
                <w:sz w:val="18"/>
                <w:szCs w:val="18"/>
              </w:rPr>
              <w:t>☐</w:t>
            </w:r>
          </w:p>
          <w:p w14:paraId="08A03D9E"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06688FDF"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74641DB3"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407EF520" w14:textId="77777777" w:rsidTr="003D45F0">
        <w:trPr>
          <w:cantSplit/>
        </w:trPr>
        <w:tc>
          <w:tcPr>
            <w:tcW w:w="567" w:type="dxa"/>
          </w:tcPr>
          <w:p w14:paraId="4D67FD45"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t>7</w:t>
            </w:r>
          </w:p>
        </w:tc>
        <w:tc>
          <w:tcPr>
            <w:tcW w:w="6520" w:type="dxa"/>
          </w:tcPr>
          <w:p w14:paraId="296C2BF7" w14:textId="5EA9C7A4" w:rsidR="00B84943" w:rsidRPr="004943B2" w:rsidRDefault="00B84943" w:rsidP="00CF1612">
            <w:pPr>
              <w:spacing w:before="40" w:after="40"/>
              <w:rPr>
                <w:rFonts w:asciiTheme="minorHAnsi" w:hAnsiTheme="minorHAnsi"/>
              </w:rPr>
            </w:pPr>
            <w:r w:rsidRPr="004943B2">
              <w:rPr>
                <w:rFonts w:asciiTheme="minorHAnsi" w:hAnsiTheme="minorHAnsi"/>
              </w:rPr>
              <w:t xml:space="preserve">The </w:t>
            </w:r>
            <w:r w:rsidRPr="004943B2">
              <w:rPr>
                <w:rFonts w:asciiTheme="minorHAnsi" w:hAnsiTheme="minorHAnsi"/>
                <w:b/>
                <w:bCs/>
              </w:rPr>
              <w:t>registered proprietor</w:t>
            </w:r>
            <w:r w:rsidRPr="004943B2">
              <w:rPr>
                <w:rFonts w:asciiTheme="minorHAnsi" w:hAnsiTheme="minorHAnsi"/>
              </w:rPr>
              <w:t xml:space="preserve"> on title matches the vendor named in both the contract and the section 32 statement, and any difference is </w:t>
            </w:r>
            <w:r w:rsidR="006668B8" w:rsidRPr="004943B2">
              <w:rPr>
                <w:rFonts w:asciiTheme="minorHAnsi" w:hAnsiTheme="minorHAnsi"/>
              </w:rPr>
              <w:t>dealt with by special condition in the contract</w:t>
            </w:r>
            <w:r w:rsidRPr="004943B2">
              <w:rPr>
                <w:rFonts w:asciiTheme="minorHAnsi" w:hAnsiTheme="minorHAnsi"/>
              </w:rPr>
              <w:t xml:space="preserve"> and </w:t>
            </w:r>
            <w:r w:rsidR="006668B8" w:rsidRPr="004943B2">
              <w:rPr>
                <w:rFonts w:asciiTheme="minorHAnsi" w:hAnsiTheme="minorHAnsi"/>
              </w:rPr>
              <w:t xml:space="preserve">any </w:t>
            </w:r>
            <w:r w:rsidR="00336984" w:rsidRPr="004943B2">
              <w:rPr>
                <w:rFonts w:asciiTheme="minorHAnsi" w:hAnsiTheme="minorHAnsi"/>
              </w:rPr>
              <w:t>applicable</w:t>
            </w:r>
            <w:r w:rsidR="006668B8" w:rsidRPr="004943B2">
              <w:rPr>
                <w:rFonts w:asciiTheme="minorHAnsi" w:hAnsiTheme="minorHAnsi"/>
              </w:rPr>
              <w:t xml:space="preserve"> documents annexed to </w:t>
            </w:r>
            <w:proofErr w:type="gramStart"/>
            <w:r w:rsidR="006668B8" w:rsidRPr="004943B2">
              <w:rPr>
                <w:rFonts w:asciiTheme="minorHAnsi" w:hAnsiTheme="minorHAnsi"/>
              </w:rPr>
              <w:t xml:space="preserve">the </w:t>
            </w:r>
            <w:r w:rsidR="00336984" w:rsidRPr="004943B2">
              <w:rPr>
                <w:rFonts w:asciiTheme="minorHAnsi" w:hAnsiTheme="minorHAnsi"/>
              </w:rPr>
              <w:t>section</w:t>
            </w:r>
            <w:proofErr w:type="gramEnd"/>
            <w:r w:rsidR="00336984" w:rsidRPr="004943B2">
              <w:rPr>
                <w:rFonts w:asciiTheme="minorHAnsi" w:hAnsiTheme="minorHAnsi"/>
              </w:rPr>
              <w:t xml:space="preserve"> 32 statement. Fo</w:t>
            </w:r>
            <w:r w:rsidR="00D92F2B" w:rsidRPr="004943B2">
              <w:rPr>
                <w:rFonts w:asciiTheme="minorHAnsi" w:hAnsiTheme="minorHAnsi"/>
              </w:rPr>
              <w:t>r</w:t>
            </w:r>
            <w:r w:rsidRPr="004943B2">
              <w:rPr>
                <w:rFonts w:asciiTheme="minorHAnsi" w:hAnsiTheme="minorHAnsi"/>
              </w:rPr>
              <w:t xml:space="preserve"> </w:t>
            </w:r>
            <w:proofErr w:type="gramStart"/>
            <w:r w:rsidRPr="004943B2">
              <w:rPr>
                <w:rFonts w:asciiTheme="minorHAnsi" w:hAnsiTheme="minorHAnsi"/>
              </w:rPr>
              <w:t>example</w:t>
            </w:r>
            <w:proofErr w:type="gramEnd"/>
            <w:r w:rsidRPr="004943B2">
              <w:rPr>
                <w:rFonts w:asciiTheme="minorHAnsi" w:hAnsiTheme="minorHAnsi"/>
              </w:rPr>
              <w:t xml:space="preserve"> you have the change of name certificate.</w:t>
            </w:r>
          </w:p>
        </w:tc>
        <w:tc>
          <w:tcPr>
            <w:tcW w:w="850" w:type="dxa"/>
          </w:tcPr>
          <w:p w14:paraId="35DF6BC9"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E3</w:t>
            </w:r>
          </w:p>
        </w:tc>
        <w:tc>
          <w:tcPr>
            <w:tcW w:w="1928" w:type="dxa"/>
          </w:tcPr>
          <w:p w14:paraId="5736DBAE" w14:textId="4CAF51AE" w:rsidR="00B84943" w:rsidRPr="004943B2" w:rsidRDefault="00B84943" w:rsidP="00CF1612">
            <w:pPr>
              <w:spacing w:after="0"/>
              <w:rPr>
                <w:rFonts w:asciiTheme="minorHAnsi" w:hAnsiTheme="minorHAnsi"/>
              </w:rPr>
            </w:pPr>
            <w:r w:rsidRPr="004943B2">
              <w:rPr>
                <w:rFonts w:asciiTheme="minorHAnsi" w:hAnsiTheme="minorHAnsi"/>
                <w:sz w:val="18"/>
                <w:szCs w:val="18"/>
              </w:rPr>
              <w:t xml:space="preserve">Done  </w:t>
            </w:r>
            <w:r w:rsidRPr="004943B2">
              <w:rPr>
                <w:rFonts w:asciiTheme="minorHAnsi" w:hAnsiTheme="minorHAnsi" w:cs="Segoe UI Symbol"/>
                <w:sz w:val="18"/>
                <w:szCs w:val="18"/>
              </w:rPr>
              <w:t>☐</w:t>
            </w:r>
          </w:p>
          <w:p w14:paraId="6E967DFF"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1E6C8D09"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456B4D3D"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1C39AA8E" w14:textId="77777777" w:rsidTr="003D45F0">
        <w:trPr>
          <w:cantSplit/>
        </w:trPr>
        <w:tc>
          <w:tcPr>
            <w:tcW w:w="567" w:type="dxa"/>
          </w:tcPr>
          <w:p w14:paraId="618EAFE7"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t>8</w:t>
            </w:r>
          </w:p>
        </w:tc>
        <w:tc>
          <w:tcPr>
            <w:tcW w:w="6520" w:type="dxa"/>
          </w:tcPr>
          <w:p w14:paraId="39FF249C" w14:textId="3FBC6BB7" w:rsidR="00B84943" w:rsidRPr="004943B2" w:rsidRDefault="00E01F2E" w:rsidP="0094402F">
            <w:pPr>
              <w:spacing w:before="40" w:after="40"/>
              <w:rPr>
                <w:rFonts w:asciiTheme="minorHAnsi" w:hAnsiTheme="minorHAnsi"/>
                <w:lang w:val="en-AU"/>
              </w:rPr>
            </w:pPr>
            <w:r w:rsidRPr="004943B2">
              <w:rPr>
                <w:rFonts w:asciiTheme="minorHAnsi" w:hAnsiTheme="minorHAnsi"/>
              </w:rPr>
              <w:t xml:space="preserve">Compare the </w:t>
            </w:r>
            <w:r w:rsidRPr="004943B2">
              <w:rPr>
                <w:rFonts w:asciiTheme="minorHAnsi" w:hAnsiTheme="minorHAnsi"/>
                <w:b/>
                <w:bCs/>
              </w:rPr>
              <w:t>title diagram for the property</w:t>
            </w:r>
            <w:r w:rsidRPr="004943B2">
              <w:rPr>
                <w:rFonts w:asciiTheme="minorHAnsi" w:hAnsiTheme="minorHAnsi"/>
              </w:rPr>
              <w:t xml:space="preserve"> to a current aerial image and to</w:t>
            </w:r>
            <w:r w:rsidR="001D03B1" w:rsidRPr="004943B2">
              <w:rPr>
                <w:rFonts w:asciiTheme="minorHAnsi" w:hAnsiTheme="minorHAnsi"/>
              </w:rPr>
              <w:t xml:space="preserve"> </w:t>
            </w:r>
            <w:hyperlink r:id="rId11" w:history="1">
              <w:proofErr w:type="spellStart"/>
              <w:r w:rsidR="001D03B1" w:rsidRPr="004943B2">
                <w:rPr>
                  <w:rStyle w:val="Hyperlink"/>
                </w:rPr>
                <w:t>MapShare</w:t>
              </w:r>
              <w:proofErr w:type="spellEnd"/>
            </w:hyperlink>
            <w:r w:rsidRPr="004943B2">
              <w:rPr>
                <w:rFonts w:asciiTheme="minorHAnsi" w:hAnsiTheme="minorHAnsi"/>
              </w:rPr>
              <w:t xml:space="preserve">. Check whether the fence lines follow the </w:t>
            </w:r>
            <w:r w:rsidR="009F1360" w:rsidRPr="004943B2">
              <w:rPr>
                <w:rFonts w:asciiTheme="minorHAnsi" w:hAnsiTheme="minorHAnsi"/>
              </w:rPr>
              <w:t>title</w:t>
            </w:r>
            <w:r w:rsidRPr="004943B2">
              <w:rPr>
                <w:rFonts w:asciiTheme="minorHAnsi" w:hAnsiTheme="minorHAnsi"/>
              </w:rPr>
              <w:t xml:space="preserve"> boundaries. If they do not, seek further instructions from the client, as the contract may need a special condition dealing with, for example, boundary deficiencies, adverse possession or a structure built over an easement.</w:t>
            </w:r>
          </w:p>
        </w:tc>
        <w:tc>
          <w:tcPr>
            <w:tcW w:w="850" w:type="dxa"/>
          </w:tcPr>
          <w:p w14:paraId="0C2C3989"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E6</w:t>
            </w:r>
          </w:p>
        </w:tc>
        <w:tc>
          <w:tcPr>
            <w:tcW w:w="1928" w:type="dxa"/>
          </w:tcPr>
          <w:p w14:paraId="17A7ED7A" w14:textId="7CDD6B6E" w:rsidR="00B84943" w:rsidRPr="004943B2" w:rsidRDefault="00B84943" w:rsidP="00CF1612">
            <w:pPr>
              <w:spacing w:after="0"/>
              <w:rPr>
                <w:rFonts w:asciiTheme="minorHAnsi" w:hAnsiTheme="minorHAnsi"/>
              </w:rPr>
            </w:pPr>
            <w:r w:rsidRPr="004943B2">
              <w:rPr>
                <w:rFonts w:asciiTheme="minorHAnsi" w:hAnsiTheme="minorHAnsi"/>
                <w:sz w:val="18"/>
                <w:szCs w:val="18"/>
              </w:rPr>
              <w:t xml:space="preserve">Done  </w:t>
            </w:r>
            <w:r w:rsidRPr="004943B2">
              <w:rPr>
                <w:rFonts w:asciiTheme="minorHAnsi" w:hAnsiTheme="minorHAnsi" w:cs="Segoe UI Symbol"/>
                <w:sz w:val="18"/>
                <w:szCs w:val="18"/>
              </w:rPr>
              <w:t>☐</w:t>
            </w:r>
          </w:p>
          <w:p w14:paraId="204E1759"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6EE26362"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7E0B8D53"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231EFE4E" w14:textId="77777777" w:rsidTr="003D45F0">
        <w:trPr>
          <w:cantSplit/>
        </w:trPr>
        <w:tc>
          <w:tcPr>
            <w:tcW w:w="567" w:type="dxa"/>
          </w:tcPr>
          <w:p w14:paraId="6B50D7BC"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t>9</w:t>
            </w:r>
          </w:p>
        </w:tc>
        <w:tc>
          <w:tcPr>
            <w:tcW w:w="6520" w:type="dxa"/>
          </w:tcPr>
          <w:p w14:paraId="17713272" w14:textId="0BB016D6" w:rsidR="00B84943" w:rsidRPr="004943B2" w:rsidRDefault="00B84943" w:rsidP="00CF1612">
            <w:pPr>
              <w:spacing w:before="40" w:after="40"/>
              <w:rPr>
                <w:rFonts w:asciiTheme="minorHAnsi" w:hAnsiTheme="minorHAnsi"/>
              </w:rPr>
            </w:pPr>
            <w:r w:rsidRPr="004943B2">
              <w:rPr>
                <w:rFonts w:asciiTheme="minorHAnsi" w:hAnsiTheme="minorHAnsi"/>
              </w:rPr>
              <w:t xml:space="preserve">The </w:t>
            </w:r>
            <w:r w:rsidRPr="004943B2">
              <w:rPr>
                <w:rFonts w:asciiTheme="minorHAnsi" w:hAnsiTheme="minorHAnsi"/>
                <w:b/>
                <w:bCs/>
              </w:rPr>
              <w:t>goods</w:t>
            </w:r>
            <w:r w:rsidRPr="004943B2">
              <w:rPr>
                <w:rFonts w:asciiTheme="minorHAnsi" w:hAnsiTheme="minorHAnsi"/>
              </w:rPr>
              <w:t xml:space="preserve"> sold with the land match the client’s instructions, and a schedule is attached to the contract where the list of goods is long or significant.</w:t>
            </w:r>
          </w:p>
        </w:tc>
        <w:tc>
          <w:tcPr>
            <w:tcW w:w="850" w:type="dxa"/>
          </w:tcPr>
          <w:p w14:paraId="6CA90FA9"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E8</w:t>
            </w:r>
          </w:p>
        </w:tc>
        <w:tc>
          <w:tcPr>
            <w:tcW w:w="1928" w:type="dxa"/>
          </w:tcPr>
          <w:p w14:paraId="2CCAB4D7" w14:textId="556F5864" w:rsidR="00B84943" w:rsidRPr="004943B2" w:rsidRDefault="00B84943" w:rsidP="00CF1612">
            <w:pPr>
              <w:spacing w:after="0"/>
              <w:rPr>
                <w:rFonts w:asciiTheme="minorHAnsi" w:hAnsiTheme="minorHAnsi"/>
              </w:rPr>
            </w:pPr>
            <w:r w:rsidRPr="004943B2">
              <w:rPr>
                <w:rFonts w:asciiTheme="minorHAnsi" w:hAnsiTheme="minorHAnsi"/>
                <w:sz w:val="18"/>
                <w:szCs w:val="18"/>
              </w:rPr>
              <w:t xml:space="preserve">Done  </w:t>
            </w:r>
            <w:r w:rsidRPr="004943B2">
              <w:rPr>
                <w:rFonts w:asciiTheme="minorHAnsi" w:hAnsiTheme="minorHAnsi" w:cs="Segoe UI Symbol"/>
                <w:sz w:val="18"/>
                <w:szCs w:val="18"/>
              </w:rPr>
              <w:t>☐</w:t>
            </w:r>
          </w:p>
          <w:p w14:paraId="77886C0D"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47A627A8"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4C4C3877"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39F0C08C" w14:textId="77777777" w:rsidTr="003D45F0">
        <w:trPr>
          <w:cantSplit/>
        </w:trPr>
        <w:tc>
          <w:tcPr>
            <w:tcW w:w="567" w:type="dxa"/>
          </w:tcPr>
          <w:p w14:paraId="770EBE57"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lastRenderedPageBreak/>
              <w:t>10</w:t>
            </w:r>
          </w:p>
        </w:tc>
        <w:tc>
          <w:tcPr>
            <w:tcW w:w="6520" w:type="dxa"/>
          </w:tcPr>
          <w:p w14:paraId="0BA8FECD" w14:textId="6B4438EA" w:rsidR="00B84943" w:rsidRPr="004943B2" w:rsidRDefault="00B84943" w:rsidP="00CF1612">
            <w:pPr>
              <w:spacing w:before="40" w:after="40"/>
              <w:rPr>
                <w:rFonts w:asciiTheme="minorHAnsi" w:hAnsiTheme="minorHAnsi"/>
              </w:rPr>
            </w:pPr>
            <w:r w:rsidRPr="004943B2">
              <w:rPr>
                <w:rFonts w:asciiTheme="minorHAnsi" w:hAnsiTheme="minorHAnsi"/>
              </w:rPr>
              <w:t xml:space="preserve">Any </w:t>
            </w:r>
            <w:r w:rsidRPr="004943B2">
              <w:rPr>
                <w:rFonts w:asciiTheme="minorHAnsi" w:hAnsiTheme="minorHAnsi"/>
                <w:b/>
                <w:bCs/>
              </w:rPr>
              <w:t>fixture</w:t>
            </w:r>
            <w:r w:rsidR="006C78BC" w:rsidRPr="004943B2">
              <w:rPr>
                <w:rFonts w:asciiTheme="minorHAnsi" w:hAnsiTheme="minorHAnsi"/>
                <w:b/>
                <w:bCs/>
              </w:rPr>
              <w:t>(s)</w:t>
            </w:r>
            <w:r w:rsidRPr="004943B2">
              <w:rPr>
                <w:rFonts w:asciiTheme="minorHAnsi" w:hAnsiTheme="minorHAnsi"/>
              </w:rPr>
              <w:t xml:space="preserve"> the vendor intends to remove before settlement is excluded from the sale and dealt with as a special condition in the contract.</w:t>
            </w:r>
          </w:p>
        </w:tc>
        <w:tc>
          <w:tcPr>
            <w:tcW w:w="850" w:type="dxa"/>
          </w:tcPr>
          <w:p w14:paraId="6D43C73A"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E8</w:t>
            </w:r>
          </w:p>
        </w:tc>
        <w:tc>
          <w:tcPr>
            <w:tcW w:w="1928" w:type="dxa"/>
          </w:tcPr>
          <w:p w14:paraId="5C3EE438"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73C624C3"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137D46AD"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480D1BCF"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31001818" w14:textId="77777777" w:rsidTr="003D45F0">
        <w:trPr>
          <w:cantSplit/>
        </w:trPr>
        <w:tc>
          <w:tcPr>
            <w:tcW w:w="567" w:type="dxa"/>
          </w:tcPr>
          <w:p w14:paraId="6417875C" w14:textId="77777777" w:rsidR="00B84943" w:rsidRPr="004943B2" w:rsidRDefault="00B84943" w:rsidP="00CF1612">
            <w:pPr>
              <w:spacing w:before="40" w:after="40"/>
              <w:rPr>
                <w:rFonts w:asciiTheme="minorHAnsi" w:hAnsiTheme="minorHAnsi"/>
              </w:rPr>
            </w:pPr>
            <w:r w:rsidRPr="004943B2">
              <w:rPr>
                <w:rFonts w:asciiTheme="minorHAnsi" w:hAnsiTheme="minorHAnsi"/>
                <w:b/>
                <w:sz w:val="18"/>
              </w:rPr>
              <w:t>11</w:t>
            </w:r>
          </w:p>
        </w:tc>
        <w:tc>
          <w:tcPr>
            <w:tcW w:w="6520" w:type="dxa"/>
          </w:tcPr>
          <w:p w14:paraId="75B0BFB7" w14:textId="28FE8393" w:rsidR="00B84943" w:rsidRPr="004943B2" w:rsidRDefault="00B84943" w:rsidP="00CF1612">
            <w:pPr>
              <w:spacing w:before="40" w:after="40"/>
              <w:rPr>
                <w:rFonts w:asciiTheme="minorHAnsi" w:hAnsiTheme="minorHAnsi"/>
              </w:rPr>
            </w:pPr>
            <w:r w:rsidRPr="004943B2">
              <w:rPr>
                <w:rFonts w:asciiTheme="minorHAnsi" w:hAnsiTheme="minorHAnsi"/>
              </w:rPr>
              <w:t xml:space="preserve">If inserted into the particulars of sale of the contract, the </w:t>
            </w:r>
            <w:r w:rsidRPr="004943B2">
              <w:rPr>
                <w:rFonts w:asciiTheme="minorHAnsi" w:hAnsiTheme="minorHAnsi"/>
                <w:b/>
                <w:bCs/>
              </w:rPr>
              <w:t>price</w:t>
            </w:r>
            <w:r w:rsidRPr="004943B2">
              <w:rPr>
                <w:rFonts w:asciiTheme="minorHAnsi" w:hAnsiTheme="minorHAnsi"/>
              </w:rPr>
              <w:t xml:space="preserve">, </w:t>
            </w:r>
            <w:r w:rsidRPr="004943B2">
              <w:rPr>
                <w:rFonts w:asciiTheme="minorHAnsi" w:hAnsiTheme="minorHAnsi"/>
                <w:b/>
                <w:bCs/>
              </w:rPr>
              <w:t>deposit</w:t>
            </w:r>
            <w:r w:rsidRPr="004943B2">
              <w:rPr>
                <w:rFonts w:asciiTheme="minorHAnsi" w:hAnsiTheme="minorHAnsi"/>
              </w:rPr>
              <w:t xml:space="preserve"> and </w:t>
            </w:r>
            <w:r w:rsidRPr="004943B2">
              <w:rPr>
                <w:rFonts w:asciiTheme="minorHAnsi" w:hAnsiTheme="minorHAnsi"/>
                <w:b/>
                <w:bCs/>
              </w:rPr>
              <w:t>balance</w:t>
            </w:r>
            <w:r w:rsidRPr="004943B2">
              <w:rPr>
                <w:rFonts w:asciiTheme="minorHAnsi" w:hAnsiTheme="minorHAnsi"/>
              </w:rPr>
              <w:t xml:space="preserve"> are correct, are consistent with the client’s instructions, and do not accidentally create a </w:t>
            </w:r>
            <w:proofErr w:type="gramStart"/>
            <w:r w:rsidRPr="004943B2">
              <w:rPr>
                <w:rFonts w:asciiTheme="minorHAnsi" w:hAnsiTheme="minorHAnsi"/>
              </w:rPr>
              <w:t>terms</w:t>
            </w:r>
            <w:proofErr w:type="gramEnd"/>
            <w:r w:rsidRPr="004943B2">
              <w:rPr>
                <w:rFonts w:asciiTheme="minorHAnsi" w:hAnsiTheme="minorHAnsi"/>
              </w:rPr>
              <w:t xml:space="preserve"> contract.</w:t>
            </w:r>
          </w:p>
        </w:tc>
        <w:tc>
          <w:tcPr>
            <w:tcW w:w="850" w:type="dxa"/>
          </w:tcPr>
          <w:p w14:paraId="18B7D3E2"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E14</w:t>
            </w:r>
          </w:p>
        </w:tc>
        <w:tc>
          <w:tcPr>
            <w:tcW w:w="1928" w:type="dxa"/>
          </w:tcPr>
          <w:p w14:paraId="5F483714"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7075DA05"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7439F743"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6ECFB282"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5E1F1B" w:rsidRPr="004943B2" w14:paraId="50B36593" w14:textId="77777777" w:rsidTr="003D45F0">
        <w:trPr>
          <w:cantSplit/>
        </w:trPr>
        <w:tc>
          <w:tcPr>
            <w:tcW w:w="9865" w:type="dxa"/>
            <w:gridSpan w:val="4"/>
            <w:shd w:val="clear" w:color="auto" w:fill="EDE3D2"/>
          </w:tcPr>
          <w:p w14:paraId="6BA915BA" w14:textId="77777777" w:rsidR="005E1F1B" w:rsidRPr="004943B2" w:rsidRDefault="005E1F1B" w:rsidP="005E1F1B">
            <w:pPr>
              <w:spacing w:before="40" w:after="40"/>
              <w:rPr>
                <w:rFonts w:asciiTheme="minorHAnsi" w:hAnsiTheme="minorHAnsi"/>
              </w:rPr>
            </w:pPr>
            <w:r w:rsidRPr="004943B2">
              <w:rPr>
                <w:rFonts w:asciiTheme="minorHAnsi" w:hAnsiTheme="minorHAnsi"/>
                <w:b/>
                <w:i/>
                <w:sz w:val="18"/>
              </w:rPr>
              <w:t>Only if: GST applies to the sale</w:t>
            </w:r>
          </w:p>
        </w:tc>
      </w:tr>
      <w:tr w:rsidR="005E1F1B" w:rsidRPr="004943B2" w14:paraId="56B1F856" w14:textId="77777777" w:rsidTr="003D45F0">
        <w:trPr>
          <w:cantSplit/>
        </w:trPr>
        <w:tc>
          <w:tcPr>
            <w:tcW w:w="567" w:type="dxa"/>
          </w:tcPr>
          <w:p w14:paraId="0D4C8C8D" w14:textId="5B51B778" w:rsidR="005E1F1B" w:rsidRPr="004943B2" w:rsidRDefault="005E1F1B" w:rsidP="005E1F1B">
            <w:pPr>
              <w:spacing w:before="40" w:after="40"/>
              <w:rPr>
                <w:rFonts w:asciiTheme="minorHAnsi" w:hAnsiTheme="minorHAnsi"/>
              </w:rPr>
            </w:pPr>
            <w:r w:rsidRPr="004943B2">
              <w:rPr>
                <w:rFonts w:asciiTheme="minorHAnsi" w:hAnsiTheme="minorHAnsi"/>
                <w:b/>
                <w:sz w:val="18"/>
              </w:rPr>
              <w:t>1</w:t>
            </w:r>
            <w:r w:rsidR="001F38CC" w:rsidRPr="004943B2">
              <w:rPr>
                <w:rFonts w:asciiTheme="minorHAnsi" w:hAnsiTheme="minorHAnsi"/>
                <w:b/>
                <w:sz w:val="18"/>
              </w:rPr>
              <w:t>2</w:t>
            </w:r>
          </w:p>
        </w:tc>
        <w:tc>
          <w:tcPr>
            <w:tcW w:w="6520" w:type="dxa"/>
          </w:tcPr>
          <w:p w14:paraId="4CB8B006" w14:textId="73B6E4CF" w:rsidR="005E1F1B" w:rsidRPr="004943B2" w:rsidRDefault="005E1F1B" w:rsidP="005E1F1B">
            <w:pPr>
              <w:spacing w:before="40" w:after="40"/>
              <w:rPr>
                <w:rFonts w:asciiTheme="minorHAnsi" w:hAnsiTheme="minorHAnsi"/>
              </w:rPr>
            </w:pPr>
            <w:r w:rsidRPr="004943B2">
              <w:rPr>
                <w:rFonts w:asciiTheme="minorHAnsi" w:hAnsiTheme="minorHAnsi"/>
              </w:rPr>
              <w:t xml:space="preserve">The particulars of sale of the contract correctly state whether the price </w:t>
            </w:r>
            <w:r w:rsidRPr="00DF0C31">
              <w:rPr>
                <w:rFonts w:asciiTheme="minorHAnsi" w:hAnsiTheme="minorHAnsi"/>
              </w:rPr>
              <w:t>includes GST</w:t>
            </w:r>
            <w:r w:rsidRPr="004943B2">
              <w:rPr>
                <w:rFonts w:asciiTheme="minorHAnsi" w:hAnsiTheme="minorHAnsi"/>
              </w:rPr>
              <w:t xml:space="preserve"> or </w:t>
            </w:r>
            <w:r w:rsidRPr="00DF0C31">
              <w:rPr>
                <w:rFonts w:asciiTheme="minorHAnsi" w:hAnsiTheme="minorHAnsi"/>
                <w:b/>
                <w:bCs/>
              </w:rPr>
              <w:t xml:space="preserve">GST is payable in addition to the </w:t>
            </w:r>
            <w:proofErr w:type="gramStart"/>
            <w:r w:rsidRPr="00DF0C31">
              <w:rPr>
                <w:rFonts w:asciiTheme="minorHAnsi" w:hAnsiTheme="minorHAnsi"/>
                <w:b/>
                <w:bCs/>
              </w:rPr>
              <w:t>price</w:t>
            </w:r>
            <w:r w:rsidRPr="004943B2">
              <w:rPr>
                <w:rFonts w:asciiTheme="minorHAnsi" w:hAnsiTheme="minorHAnsi"/>
              </w:rPr>
              <w:t xml:space="preserve"> </w:t>
            </w:r>
            <w:r w:rsidRPr="00D7024F">
              <w:rPr>
                <w:rFonts w:asciiTheme="minorHAnsi" w:hAnsiTheme="minorHAnsi"/>
                <w:b/>
                <w:bCs/>
              </w:rPr>
              <w:t>(‘</w:t>
            </w:r>
            <w:proofErr w:type="gramEnd"/>
            <w:r w:rsidRPr="00D7024F">
              <w:rPr>
                <w:rFonts w:asciiTheme="minorHAnsi" w:hAnsiTheme="minorHAnsi"/>
                <w:b/>
                <w:bCs/>
              </w:rPr>
              <w:t>plus GST’ box is checked)</w:t>
            </w:r>
            <w:r w:rsidRPr="004943B2">
              <w:rPr>
                <w:rFonts w:asciiTheme="minorHAnsi" w:hAnsiTheme="minorHAnsi"/>
              </w:rPr>
              <w:t>.</w:t>
            </w:r>
          </w:p>
        </w:tc>
        <w:tc>
          <w:tcPr>
            <w:tcW w:w="850" w:type="dxa"/>
          </w:tcPr>
          <w:p w14:paraId="6445B5DC" w14:textId="77777777" w:rsidR="005E1F1B" w:rsidRPr="004943B2" w:rsidRDefault="005E1F1B" w:rsidP="005E1F1B">
            <w:pPr>
              <w:spacing w:before="40" w:after="40"/>
              <w:rPr>
                <w:rFonts w:asciiTheme="minorHAnsi" w:hAnsiTheme="minorHAnsi"/>
              </w:rPr>
            </w:pPr>
            <w:r w:rsidRPr="004943B2">
              <w:rPr>
                <w:rFonts w:asciiTheme="minorHAnsi" w:hAnsiTheme="minorHAnsi"/>
                <w:sz w:val="17"/>
              </w:rPr>
              <w:t>E9</w:t>
            </w:r>
          </w:p>
        </w:tc>
        <w:tc>
          <w:tcPr>
            <w:tcW w:w="1928" w:type="dxa"/>
          </w:tcPr>
          <w:p w14:paraId="615EB766"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09AEB546"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0E6D0384"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072CA491" w14:textId="77777777" w:rsidR="005E1F1B" w:rsidRPr="004943B2" w:rsidRDefault="005E1F1B" w:rsidP="005E1F1B">
            <w:pPr>
              <w:spacing w:after="0"/>
              <w:rPr>
                <w:rFonts w:asciiTheme="minorHAnsi" w:hAnsiTheme="minorHAnsi"/>
              </w:rPr>
            </w:pPr>
            <w:r w:rsidRPr="004943B2">
              <w:rPr>
                <w:rFonts w:asciiTheme="minorHAnsi" w:hAnsiTheme="minorHAnsi"/>
                <w:sz w:val="16"/>
              </w:rPr>
              <w:t>……………………</w:t>
            </w:r>
          </w:p>
        </w:tc>
      </w:tr>
      <w:tr w:rsidR="005E1F1B" w:rsidRPr="004943B2" w14:paraId="26D46F83" w14:textId="77777777" w:rsidTr="003D45F0">
        <w:trPr>
          <w:cantSplit/>
        </w:trPr>
        <w:tc>
          <w:tcPr>
            <w:tcW w:w="567" w:type="dxa"/>
          </w:tcPr>
          <w:p w14:paraId="0490D4C9" w14:textId="3262B25C" w:rsidR="005E1F1B" w:rsidRPr="004943B2" w:rsidRDefault="005E1F1B" w:rsidP="005E1F1B">
            <w:pPr>
              <w:spacing w:before="40" w:after="40"/>
              <w:rPr>
                <w:rFonts w:asciiTheme="minorHAnsi" w:hAnsiTheme="minorHAnsi"/>
              </w:rPr>
            </w:pPr>
            <w:r w:rsidRPr="004943B2">
              <w:rPr>
                <w:rFonts w:asciiTheme="minorHAnsi" w:hAnsiTheme="minorHAnsi"/>
                <w:b/>
                <w:sz w:val="18"/>
              </w:rPr>
              <w:t>1</w:t>
            </w:r>
            <w:r w:rsidR="001F38CC" w:rsidRPr="004943B2">
              <w:rPr>
                <w:rFonts w:asciiTheme="minorHAnsi" w:hAnsiTheme="minorHAnsi"/>
                <w:b/>
                <w:sz w:val="18"/>
              </w:rPr>
              <w:t>3</w:t>
            </w:r>
          </w:p>
        </w:tc>
        <w:tc>
          <w:tcPr>
            <w:tcW w:w="6520" w:type="dxa"/>
          </w:tcPr>
          <w:p w14:paraId="433FD8D1" w14:textId="5C16C6AE" w:rsidR="005E1F1B" w:rsidRPr="004943B2" w:rsidRDefault="005E1F1B" w:rsidP="005E1F1B">
            <w:pPr>
              <w:spacing w:before="40" w:after="40"/>
              <w:rPr>
                <w:rFonts w:asciiTheme="minorHAnsi" w:hAnsiTheme="minorHAnsi"/>
                <w:lang w:val="en-AU"/>
              </w:rPr>
            </w:pPr>
            <w:r w:rsidRPr="004943B2">
              <w:rPr>
                <w:rFonts w:asciiTheme="minorHAnsi" w:hAnsiTheme="minorHAnsi"/>
              </w:rPr>
              <w:t xml:space="preserve">Where the </w:t>
            </w:r>
            <w:r w:rsidRPr="004943B2">
              <w:rPr>
                <w:rFonts w:asciiTheme="minorHAnsi" w:hAnsiTheme="minorHAnsi"/>
                <w:b/>
                <w:bCs/>
              </w:rPr>
              <w:t>margin scheme</w:t>
            </w:r>
            <w:r w:rsidRPr="004943B2">
              <w:rPr>
                <w:rFonts w:asciiTheme="minorHAnsi" w:hAnsiTheme="minorHAnsi"/>
              </w:rPr>
              <w:t xml:space="preserve"> is to be used, the ‘margin </w:t>
            </w:r>
            <w:proofErr w:type="gramStart"/>
            <w:r w:rsidRPr="004943B2">
              <w:rPr>
                <w:rFonts w:asciiTheme="minorHAnsi" w:hAnsiTheme="minorHAnsi"/>
              </w:rPr>
              <w:t>scheme’</w:t>
            </w:r>
            <w:proofErr w:type="gramEnd"/>
            <w:r w:rsidRPr="004943B2">
              <w:rPr>
                <w:rFonts w:asciiTheme="minorHAnsi" w:hAnsiTheme="minorHAnsi"/>
              </w:rPr>
              <w:t xml:space="preserve"> box is checked in the particulars of sale of the contract, and the basis on which the margin has been calculated has been confirmed with the client.</w:t>
            </w:r>
          </w:p>
        </w:tc>
        <w:tc>
          <w:tcPr>
            <w:tcW w:w="850" w:type="dxa"/>
          </w:tcPr>
          <w:p w14:paraId="036DB3CE" w14:textId="77777777" w:rsidR="005E1F1B" w:rsidRPr="004943B2" w:rsidRDefault="005E1F1B" w:rsidP="005E1F1B">
            <w:pPr>
              <w:spacing w:before="40" w:after="40"/>
              <w:rPr>
                <w:rFonts w:asciiTheme="minorHAnsi" w:hAnsiTheme="minorHAnsi"/>
              </w:rPr>
            </w:pPr>
            <w:r w:rsidRPr="004943B2">
              <w:rPr>
                <w:rFonts w:asciiTheme="minorHAnsi" w:hAnsiTheme="minorHAnsi"/>
                <w:sz w:val="17"/>
              </w:rPr>
              <w:t>E10</w:t>
            </w:r>
          </w:p>
        </w:tc>
        <w:tc>
          <w:tcPr>
            <w:tcW w:w="1928" w:type="dxa"/>
          </w:tcPr>
          <w:p w14:paraId="22978C34"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2AEA5A5E"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7B9999D1"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4EAEE6AE" w14:textId="77777777" w:rsidR="005E1F1B" w:rsidRPr="004943B2" w:rsidRDefault="005E1F1B" w:rsidP="005E1F1B">
            <w:pPr>
              <w:spacing w:after="0"/>
              <w:rPr>
                <w:rFonts w:asciiTheme="minorHAnsi" w:hAnsiTheme="minorHAnsi"/>
              </w:rPr>
            </w:pPr>
            <w:r w:rsidRPr="004943B2">
              <w:rPr>
                <w:rFonts w:asciiTheme="minorHAnsi" w:hAnsiTheme="minorHAnsi"/>
                <w:sz w:val="16"/>
              </w:rPr>
              <w:t>……………………</w:t>
            </w:r>
          </w:p>
        </w:tc>
      </w:tr>
      <w:tr w:rsidR="005E1F1B" w:rsidRPr="004943B2" w14:paraId="3DF06541" w14:textId="77777777" w:rsidTr="003D45F0">
        <w:trPr>
          <w:cantSplit/>
        </w:trPr>
        <w:tc>
          <w:tcPr>
            <w:tcW w:w="567" w:type="dxa"/>
          </w:tcPr>
          <w:p w14:paraId="3EC6C750" w14:textId="2117A973" w:rsidR="005E1F1B" w:rsidRPr="004943B2" w:rsidRDefault="005E1F1B" w:rsidP="005E1F1B">
            <w:pPr>
              <w:spacing w:before="40" w:after="40"/>
              <w:rPr>
                <w:rFonts w:asciiTheme="minorHAnsi" w:hAnsiTheme="minorHAnsi"/>
              </w:rPr>
            </w:pPr>
            <w:r w:rsidRPr="004943B2">
              <w:rPr>
                <w:rFonts w:asciiTheme="minorHAnsi" w:hAnsiTheme="minorHAnsi"/>
                <w:b/>
                <w:sz w:val="18"/>
              </w:rPr>
              <w:t>1</w:t>
            </w:r>
            <w:r w:rsidR="001F38CC" w:rsidRPr="004943B2">
              <w:rPr>
                <w:rFonts w:asciiTheme="minorHAnsi" w:hAnsiTheme="minorHAnsi"/>
                <w:b/>
                <w:sz w:val="18"/>
              </w:rPr>
              <w:t>4</w:t>
            </w:r>
          </w:p>
        </w:tc>
        <w:tc>
          <w:tcPr>
            <w:tcW w:w="6520" w:type="dxa"/>
          </w:tcPr>
          <w:p w14:paraId="05D62DD3" w14:textId="7DF757F9" w:rsidR="005E1F1B" w:rsidRPr="004943B2" w:rsidRDefault="005E1F1B" w:rsidP="005E1F1B">
            <w:pPr>
              <w:spacing w:before="40" w:after="40"/>
              <w:rPr>
                <w:rFonts w:asciiTheme="minorHAnsi" w:hAnsiTheme="minorHAnsi"/>
              </w:rPr>
            </w:pPr>
            <w:r w:rsidRPr="004943B2">
              <w:rPr>
                <w:rFonts w:asciiTheme="minorHAnsi" w:hAnsiTheme="minorHAnsi"/>
              </w:rPr>
              <w:t xml:space="preserve">Where the </w:t>
            </w:r>
            <w:r w:rsidRPr="004943B2">
              <w:rPr>
                <w:rFonts w:asciiTheme="minorHAnsi" w:hAnsiTheme="minorHAnsi"/>
                <w:b/>
                <w:bCs/>
              </w:rPr>
              <w:t xml:space="preserve">going </w:t>
            </w:r>
            <w:proofErr w:type="gramStart"/>
            <w:r w:rsidRPr="004943B2">
              <w:rPr>
                <w:rFonts w:asciiTheme="minorHAnsi" w:hAnsiTheme="minorHAnsi"/>
                <w:b/>
                <w:bCs/>
              </w:rPr>
              <w:t>concern</w:t>
            </w:r>
            <w:r w:rsidRPr="004943B2">
              <w:rPr>
                <w:rFonts w:asciiTheme="minorHAnsi" w:hAnsiTheme="minorHAnsi"/>
              </w:rPr>
              <w:t xml:space="preserve"> exemption</w:t>
            </w:r>
            <w:proofErr w:type="gramEnd"/>
            <w:r w:rsidRPr="004943B2">
              <w:rPr>
                <w:rFonts w:asciiTheme="minorHAnsi" w:hAnsiTheme="minorHAnsi"/>
              </w:rPr>
              <w:t xml:space="preserve"> is claimed, the requirements will be satisfied: </w:t>
            </w:r>
          </w:p>
          <w:p w14:paraId="67C395BC" w14:textId="77777777" w:rsidR="005E1F1B" w:rsidRPr="004943B2" w:rsidRDefault="005E1F1B" w:rsidP="005E1F1B">
            <w:pPr>
              <w:pStyle w:val="ListParagraph"/>
              <w:spacing w:before="40" w:after="40"/>
              <w:rPr>
                <w:rFonts w:asciiTheme="minorHAnsi" w:hAnsiTheme="minorHAnsi"/>
              </w:rPr>
            </w:pPr>
            <w:proofErr w:type="gramStart"/>
            <w:r w:rsidRPr="004943B2">
              <w:rPr>
                <w:rFonts w:asciiTheme="minorHAnsi" w:hAnsiTheme="minorHAnsi"/>
              </w:rPr>
              <w:t>the</w:t>
            </w:r>
            <w:proofErr w:type="gramEnd"/>
            <w:r w:rsidRPr="004943B2">
              <w:rPr>
                <w:rFonts w:asciiTheme="minorHAnsi" w:hAnsiTheme="minorHAnsi"/>
              </w:rPr>
              <w:t xml:space="preserve"> parties agree in writing that the supply is of a going concern, </w:t>
            </w:r>
          </w:p>
          <w:p w14:paraId="1E3FA942" w14:textId="77777777" w:rsidR="005E1F1B" w:rsidRPr="004943B2" w:rsidRDefault="005E1F1B" w:rsidP="005E1F1B">
            <w:pPr>
              <w:pStyle w:val="ListParagraph"/>
              <w:spacing w:before="40" w:after="40"/>
              <w:rPr>
                <w:rFonts w:asciiTheme="minorHAnsi" w:hAnsiTheme="minorHAnsi"/>
              </w:rPr>
            </w:pPr>
            <w:r w:rsidRPr="004943B2">
              <w:rPr>
                <w:rFonts w:asciiTheme="minorHAnsi" w:hAnsiTheme="minorHAnsi"/>
              </w:rPr>
              <w:t xml:space="preserve">the purchaser is or will be registered for GST by the day of supply, </w:t>
            </w:r>
          </w:p>
          <w:p w14:paraId="6FD79529" w14:textId="77777777" w:rsidR="005E1F1B" w:rsidRPr="004943B2" w:rsidRDefault="005E1F1B" w:rsidP="005E1F1B">
            <w:pPr>
              <w:pStyle w:val="ListParagraph"/>
              <w:spacing w:before="40" w:after="40"/>
              <w:rPr>
                <w:rFonts w:asciiTheme="minorHAnsi" w:hAnsiTheme="minorHAnsi"/>
              </w:rPr>
            </w:pPr>
            <w:r w:rsidRPr="004943B2">
              <w:rPr>
                <w:rFonts w:asciiTheme="minorHAnsi" w:hAnsiTheme="minorHAnsi"/>
              </w:rPr>
              <w:t xml:space="preserve">the vendor supplies all things necessary for the continued operation of the enterprise, </w:t>
            </w:r>
          </w:p>
          <w:p w14:paraId="1ACF3EB1" w14:textId="2468EEEC" w:rsidR="005E1F1B" w:rsidRPr="004943B2" w:rsidRDefault="005E1F1B" w:rsidP="005E1F1B">
            <w:pPr>
              <w:pStyle w:val="ListParagraph"/>
              <w:spacing w:before="40" w:after="40"/>
              <w:rPr>
                <w:rFonts w:asciiTheme="minorHAnsi" w:hAnsiTheme="minorHAnsi"/>
              </w:rPr>
            </w:pPr>
            <w:r w:rsidRPr="004943B2">
              <w:rPr>
                <w:rFonts w:asciiTheme="minorHAnsi" w:hAnsiTheme="minorHAnsi"/>
              </w:rPr>
              <w:t>the vendor carries on the enterprise until the day of supply, and</w:t>
            </w:r>
          </w:p>
          <w:p w14:paraId="6AD90FEB" w14:textId="340CC68C" w:rsidR="005E1F1B" w:rsidRPr="004943B2" w:rsidRDefault="005E1F1B" w:rsidP="00CC5AE4">
            <w:pPr>
              <w:pStyle w:val="ListParagraph"/>
              <w:numPr>
                <w:ilvl w:val="0"/>
                <w:numId w:val="0"/>
              </w:numPr>
              <w:spacing w:before="40" w:after="40"/>
              <w:ind w:left="1440"/>
              <w:rPr>
                <w:rFonts w:asciiTheme="minorHAnsi" w:hAnsiTheme="minorHAnsi"/>
              </w:rPr>
            </w:pPr>
            <w:r w:rsidRPr="004943B2">
              <w:rPr>
                <w:rFonts w:asciiTheme="minorHAnsi" w:hAnsiTheme="minorHAnsi"/>
              </w:rPr>
              <w:t>the ‘going concern’ box is checked in the particulars of sale of the contract.</w:t>
            </w:r>
          </w:p>
        </w:tc>
        <w:tc>
          <w:tcPr>
            <w:tcW w:w="850" w:type="dxa"/>
          </w:tcPr>
          <w:p w14:paraId="24448BA1" w14:textId="77777777" w:rsidR="005E1F1B" w:rsidRPr="004943B2" w:rsidRDefault="005E1F1B" w:rsidP="005E1F1B">
            <w:pPr>
              <w:spacing w:before="40" w:after="40"/>
              <w:rPr>
                <w:rFonts w:asciiTheme="minorHAnsi" w:hAnsiTheme="minorHAnsi"/>
              </w:rPr>
            </w:pPr>
            <w:r w:rsidRPr="004943B2">
              <w:rPr>
                <w:rFonts w:asciiTheme="minorHAnsi" w:hAnsiTheme="minorHAnsi"/>
                <w:sz w:val="17"/>
              </w:rPr>
              <w:t>E11</w:t>
            </w:r>
          </w:p>
        </w:tc>
        <w:tc>
          <w:tcPr>
            <w:tcW w:w="1928" w:type="dxa"/>
          </w:tcPr>
          <w:p w14:paraId="74AD70A2"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3CC6EC31"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365FD8A9"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1607A277" w14:textId="77777777" w:rsidR="005E1F1B" w:rsidRPr="004943B2" w:rsidRDefault="005E1F1B" w:rsidP="005E1F1B">
            <w:pPr>
              <w:spacing w:after="0"/>
              <w:rPr>
                <w:rFonts w:asciiTheme="minorHAnsi" w:hAnsiTheme="minorHAnsi"/>
              </w:rPr>
            </w:pPr>
            <w:r w:rsidRPr="004943B2">
              <w:rPr>
                <w:rFonts w:asciiTheme="minorHAnsi" w:hAnsiTheme="minorHAnsi"/>
                <w:sz w:val="16"/>
              </w:rPr>
              <w:t>……………………</w:t>
            </w:r>
          </w:p>
        </w:tc>
      </w:tr>
      <w:tr w:rsidR="005E1F1B" w:rsidRPr="004943B2" w14:paraId="2DC51562" w14:textId="77777777" w:rsidTr="003D45F0">
        <w:trPr>
          <w:cantSplit/>
        </w:trPr>
        <w:tc>
          <w:tcPr>
            <w:tcW w:w="567" w:type="dxa"/>
          </w:tcPr>
          <w:p w14:paraId="4A694707" w14:textId="1ADCE0F2" w:rsidR="005E1F1B" w:rsidRPr="004943B2" w:rsidRDefault="005E1F1B" w:rsidP="005E1F1B">
            <w:pPr>
              <w:spacing w:before="40" w:after="40"/>
              <w:rPr>
                <w:rFonts w:asciiTheme="minorHAnsi" w:hAnsiTheme="minorHAnsi"/>
              </w:rPr>
            </w:pPr>
            <w:r w:rsidRPr="004943B2">
              <w:rPr>
                <w:rFonts w:asciiTheme="minorHAnsi" w:hAnsiTheme="minorHAnsi"/>
                <w:b/>
                <w:sz w:val="18"/>
              </w:rPr>
              <w:t>1</w:t>
            </w:r>
            <w:r w:rsidR="001F38CC" w:rsidRPr="004943B2">
              <w:rPr>
                <w:rFonts w:asciiTheme="minorHAnsi" w:hAnsiTheme="minorHAnsi"/>
                <w:b/>
                <w:sz w:val="18"/>
              </w:rPr>
              <w:t>5</w:t>
            </w:r>
          </w:p>
        </w:tc>
        <w:tc>
          <w:tcPr>
            <w:tcW w:w="6520" w:type="dxa"/>
          </w:tcPr>
          <w:p w14:paraId="43D6BE45" w14:textId="46B47120" w:rsidR="005E1F1B" w:rsidRPr="004943B2" w:rsidRDefault="005E1F1B" w:rsidP="005E1F1B">
            <w:pPr>
              <w:spacing w:before="40" w:after="40"/>
              <w:rPr>
                <w:rFonts w:asciiTheme="minorHAnsi" w:hAnsiTheme="minorHAnsi"/>
              </w:rPr>
            </w:pPr>
            <w:r w:rsidRPr="004943B2">
              <w:rPr>
                <w:rFonts w:asciiTheme="minorHAnsi" w:hAnsiTheme="minorHAnsi"/>
              </w:rPr>
              <w:t xml:space="preserve">Where the </w:t>
            </w:r>
            <w:r w:rsidRPr="004943B2">
              <w:rPr>
                <w:rFonts w:asciiTheme="minorHAnsi" w:hAnsiTheme="minorHAnsi"/>
                <w:b/>
                <w:bCs/>
              </w:rPr>
              <w:t>farming business</w:t>
            </w:r>
            <w:r w:rsidRPr="004943B2">
              <w:rPr>
                <w:rFonts w:asciiTheme="minorHAnsi" w:hAnsiTheme="minorHAnsi"/>
              </w:rPr>
              <w:t xml:space="preserve"> exemption is claimed, the requirements will be satisfied</w:t>
            </w:r>
            <w:r w:rsidR="009C5A48" w:rsidRPr="004943B2">
              <w:rPr>
                <w:rFonts w:asciiTheme="minorHAnsi" w:hAnsiTheme="minorHAnsi"/>
              </w:rPr>
              <w:t xml:space="preserve">, </w:t>
            </w:r>
            <w:r w:rsidRPr="004943B2">
              <w:rPr>
                <w:rFonts w:asciiTheme="minorHAnsi" w:hAnsiTheme="minorHAnsi"/>
              </w:rPr>
              <w:t>and the ‘farming business’ box is checked in the particulars of sale of the contract.</w:t>
            </w:r>
          </w:p>
        </w:tc>
        <w:tc>
          <w:tcPr>
            <w:tcW w:w="850" w:type="dxa"/>
          </w:tcPr>
          <w:p w14:paraId="204E3808" w14:textId="77777777" w:rsidR="005E1F1B" w:rsidRPr="004943B2" w:rsidRDefault="005E1F1B" w:rsidP="005E1F1B">
            <w:pPr>
              <w:spacing w:before="40" w:after="40"/>
              <w:rPr>
                <w:rFonts w:asciiTheme="minorHAnsi" w:hAnsiTheme="minorHAnsi"/>
              </w:rPr>
            </w:pPr>
            <w:r w:rsidRPr="004943B2">
              <w:rPr>
                <w:rFonts w:asciiTheme="minorHAnsi" w:hAnsiTheme="minorHAnsi"/>
                <w:sz w:val="17"/>
              </w:rPr>
              <w:t>E11</w:t>
            </w:r>
          </w:p>
        </w:tc>
        <w:tc>
          <w:tcPr>
            <w:tcW w:w="1928" w:type="dxa"/>
          </w:tcPr>
          <w:p w14:paraId="73C85203"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66FF2563"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654A412C"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6CB318A3" w14:textId="77777777" w:rsidR="005E1F1B" w:rsidRPr="004943B2" w:rsidRDefault="005E1F1B" w:rsidP="005E1F1B">
            <w:pPr>
              <w:spacing w:after="0"/>
              <w:rPr>
                <w:rFonts w:asciiTheme="minorHAnsi" w:hAnsiTheme="minorHAnsi"/>
              </w:rPr>
            </w:pPr>
            <w:r w:rsidRPr="004943B2">
              <w:rPr>
                <w:rFonts w:asciiTheme="minorHAnsi" w:hAnsiTheme="minorHAnsi"/>
                <w:sz w:val="16"/>
              </w:rPr>
              <w:t>……………………</w:t>
            </w:r>
          </w:p>
        </w:tc>
      </w:tr>
      <w:tr w:rsidR="005E1F1B" w:rsidRPr="004943B2" w14:paraId="733428FA" w14:textId="77777777" w:rsidTr="003D45F0">
        <w:trPr>
          <w:cantSplit/>
        </w:trPr>
        <w:tc>
          <w:tcPr>
            <w:tcW w:w="567" w:type="dxa"/>
          </w:tcPr>
          <w:p w14:paraId="7CD2274A" w14:textId="633F4F59" w:rsidR="005E1F1B" w:rsidRPr="004943B2" w:rsidRDefault="005E1F1B" w:rsidP="005E1F1B">
            <w:pPr>
              <w:spacing w:before="40" w:after="40"/>
              <w:rPr>
                <w:rFonts w:asciiTheme="minorHAnsi" w:hAnsiTheme="minorHAnsi"/>
              </w:rPr>
            </w:pPr>
            <w:r w:rsidRPr="004943B2">
              <w:rPr>
                <w:rFonts w:asciiTheme="minorHAnsi" w:hAnsiTheme="minorHAnsi"/>
                <w:b/>
                <w:sz w:val="18"/>
              </w:rPr>
              <w:t>1</w:t>
            </w:r>
            <w:r w:rsidR="001F38CC" w:rsidRPr="004943B2">
              <w:rPr>
                <w:rFonts w:asciiTheme="minorHAnsi" w:hAnsiTheme="minorHAnsi"/>
                <w:b/>
                <w:sz w:val="18"/>
              </w:rPr>
              <w:t>6</w:t>
            </w:r>
          </w:p>
        </w:tc>
        <w:tc>
          <w:tcPr>
            <w:tcW w:w="6520" w:type="dxa"/>
          </w:tcPr>
          <w:p w14:paraId="253A4828" w14:textId="44EA82E3" w:rsidR="005E1F1B" w:rsidRPr="004943B2" w:rsidRDefault="005E1F1B" w:rsidP="005E1F1B">
            <w:pPr>
              <w:spacing w:before="40" w:after="40"/>
              <w:rPr>
                <w:rFonts w:asciiTheme="minorHAnsi" w:hAnsiTheme="minorHAnsi"/>
              </w:rPr>
            </w:pPr>
            <w:r w:rsidRPr="004943B2">
              <w:rPr>
                <w:rFonts w:asciiTheme="minorHAnsi" w:hAnsiTheme="minorHAnsi"/>
              </w:rPr>
              <w:t xml:space="preserve">Any </w:t>
            </w:r>
            <w:r w:rsidRPr="004943B2">
              <w:rPr>
                <w:rFonts w:asciiTheme="minorHAnsi" w:hAnsiTheme="minorHAnsi"/>
                <w:b/>
                <w:bCs/>
              </w:rPr>
              <w:t>GST mixed supply</w:t>
            </w:r>
            <w:r w:rsidRPr="004943B2">
              <w:rPr>
                <w:rFonts w:asciiTheme="minorHAnsi" w:hAnsiTheme="minorHAnsi"/>
              </w:rPr>
              <w:t xml:space="preserve"> has been </w:t>
            </w:r>
            <w:proofErr w:type="gramStart"/>
            <w:r w:rsidRPr="004943B2">
              <w:rPr>
                <w:rFonts w:asciiTheme="minorHAnsi" w:hAnsiTheme="minorHAnsi"/>
              </w:rPr>
              <w:t>identified</w:t>
            </w:r>
            <w:proofErr w:type="gramEnd"/>
            <w:r w:rsidRPr="004943B2">
              <w:rPr>
                <w:rFonts w:asciiTheme="minorHAnsi" w:hAnsiTheme="minorHAnsi"/>
              </w:rPr>
              <w:t xml:space="preserve"> and a GST mixed supply special condition is contained in the contract.</w:t>
            </w:r>
          </w:p>
        </w:tc>
        <w:tc>
          <w:tcPr>
            <w:tcW w:w="850" w:type="dxa"/>
          </w:tcPr>
          <w:p w14:paraId="47EEED30" w14:textId="77777777" w:rsidR="005E1F1B" w:rsidRPr="004943B2" w:rsidRDefault="005E1F1B" w:rsidP="005E1F1B">
            <w:pPr>
              <w:spacing w:before="40" w:after="40"/>
              <w:rPr>
                <w:rFonts w:asciiTheme="minorHAnsi" w:hAnsiTheme="minorHAnsi"/>
              </w:rPr>
            </w:pPr>
            <w:r w:rsidRPr="004943B2">
              <w:rPr>
                <w:rFonts w:asciiTheme="minorHAnsi" w:hAnsiTheme="minorHAnsi"/>
                <w:sz w:val="17"/>
              </w:rPr>
              <w:t>E9</w:t>
            </w:r>
          </w:p>
        </w:tc>
        <w:tc>
          <w:tcPr>
            <w:tcW w:w="1928" w:type="dxa"/>
          </w:tcPr>
          <w:p w14:paraId="340E2F4B"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1F391675"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6C1F418C" w14:textId="77777777" w:rsidR="005E1F1B" w:rsidRPr="004943B2" w:rsidRDefault="005E1F1B" w:rsidP="005E1F1B">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062276CC" w14:textId="77777777" w:rsidR="005E1F1B" w:rsidRPr="004943B2" w:rsidRDefault="005E1F1B" w:rsidP="005E1F1B">
            <w:pPr>
              <w:spacing w:after="0"/>
              <w:rPr>
                <w:rFonts w:asciiTheme="minorHAnsi" w:hAnsiTheme="minorHAnsi"/>
              </w:rPr>
            </w:pPr>
            <w:r w:rsidRPr="004943B2">
              <w:rPr>
                <w:rFonts w:asciiTheme="minorHAnsi" w:hAnsiTheme="minorHAnsi"/>
                <w:sz w:val="16"/>
              </w:rPr>
              <w:t>……………………</w:t>
            </w:r>
          </w:p>
        </w:tc>
      </w:tr>
      <w:tr w:rsidR="005E1F1B" w:rsidRPr="004943B2" w14:paraId="1E9AD37E" w14:textId="77777777" w:rsidTr="003D45F0">
        <w:trPr>
          <w:cantSplit/>
        </w:trPr>
        <w:tc>
          <w:tcPr>
            <w:tcW w:w="9865" w:type="dxa"/>
            <w:gridSpan w:val="4"/>
            <w:shd w:val="clear" w:color="auto" w:fill="EDE3D2"/>
          </w:tcPr>
          <w:p w14:paraId="1BE0EAC2" w14:textId="77777777" w:rsidR="005E1F1B" w:rsidRPr="004943B2" w:rsidRDefault="005E1F1B" w:rsidP="005E1F1B">
            <w:pPr>
              <w:spacing w:before="40" w:after="40"/>
              <w:rPr>
                <w:rFonts w:asciiTheme="minorHAnsi" w:hAnsiTheme="minorHAnsi"/>
              </w:rPr>
            </w:pPr>
            <w:r w:rsidRPr="004943B2">
              <w:rPr>
                <w:rFonts w:asciiTheme="minorHAnsi" w:hAnsiTheme="minorHAnsi"/>
                <w:b/>
                <w:i/>
                <w:sz w:val="18"/>
              </w:rPr>
              <w:t>End of GST block</w:t>
            </w:r>
          </w:p>
        </w:tc>
      </w:tr>
      <w:tr w:rsidR="001F38CC" w:rsidRPr="004943B2" w14:paraId="3ABD2F52" w14:textId="77777777" w:rsidTr="003D45F0">
        <w:trPr>
          <w:cantSplit/>
        </w:trPr>
        <w:tc>
          <w:tcPr>
            <w:tcW w:w="567" w:type="dxa"/>
          </w:tcPr>
          <w:p w14:paraId="2F4F25EB" w14:textId="718E02DA" w:rsidR="001F38CC" w:rsidRPr="004943B2" w:rsidRDefault="001F38CC" w:rsidP="001F38CC">
            <w:pPr>
              <w:spacing w:before="40" w:after="40"/>
              <w:rPr>
                <w:rFonts w:asciiTheme="minorHAnsi" w:hAnsiTheme="minorHAnsi"/>
                <w:b/>
                <w:sz w:val="18"/>
              </w:rPr>
            </w:pPr>
            <w:r w:rsidRPr="004943B2">
              <w:rPr>
                <w:rFonts w:asciiTheme="minorHAnsi" w:hAnsiTheme="minorHAnsi"/>
                <w:b/>
                <w:sz w:val="18"/>
              </w:rPr>
              <w:t>17</w:t>
            </w:r>
          </w:p>
        </w:tc>
        <w:tc>
          <w:tcPr>
            <w:tcW w:w="6520" w:type="dxa"/>
          </w:tcPr>
          <w:p w14:paraId="0A6E73AD" w14:textId="01FC0AB5" w:rsidR="001F38CC" w:rsidRPr="004943B2" w:rsidRDefault="00C40E74" w:rsidP="001F38CC">
            <w:pPr>
              <w:spacing w:before="40" w:after="40"/>
              <w:rPr>
                <w:rFonts w:asciiTheme="minorHAnsi" w:hAnsiTheme="minorHAnsi"/>
              </w:rPr>
            </w:pPr>
            <w:r>
              <w:rPr>
                <w:rFonts w:asciiTheme="minorHAnsi" w:hAnsiTheme="minorHAnsi"/>
              </w:rPr>
              <w:t xml:space="preserve">Where a GST withholding notice is required, and </w:t>
            </w:r>
            <w:r w:rsidR="001F38CC" w:rsidRPr="004943B2">
              <w:rPr>
                <w:rFonts w:asciiTheme="minorHAnsi" w:hAnsiTheme="minorHAnsi"/>
              </w:rPr>
              <w:t>the purchaser is not required to withhold an amount of GST at settlement</w:t>
            </w:r>
            <w:r w:rsidR="00C47BC1" w:rsidRPr="004943B2">
              <w:rPr>
                <w:rFonts w:asciiTheme="minorHAnsi" w:hAnsiTheme="minorHAnsi"/>
              </w:rPr>
              <w:t xml:space="preserve">, </w:t>
            </w:r>
            <w:r w:rsidR="001F38CC" w:rsidRPr="004943B2">
              <w:rPr>
                <w:rFonts w:asciiTheme="minorHAnsi" w:hAnsiTheme="minorHAnsi"/>
              </w:rPr>
              <w:t xml:space="preserve">a </w:t>
            </w:r>
            <w:r w:rsidR="001F38CC" w:rsidRPr="004943B2">
              <w:rPr>
                <w:rFonts w:asciiTheme="minorHAnsi" w:hAnsiTheme="minorHAnsi"/>
                <w:b/>
                <w:bCs/>
              </w:rPr>
              <w:t>GST withholding notice</w:t>
            </w:r>
            <w:r w:rsidR="001F38CC" w:rsidRPr="004943B2">
              <w:rPr>
                <w:rFonts w:asciiTheme="minorHAnsi" w:hAnsiTheme="minorHAnsi"/>
              </w:rPr>
              <w:t xml:space="preserve"> has been included, in accordance with section 14-255 Schedule 1 of the </w:t>
            </w:r>
            <w:r w:rsidR="001F38CC" w:rsidRPr="004943B2">
              <w:rPr>
                <w:rFonts w:asciiTheme="minorHAnsi" w:hAnsiTheme="minorHAnsi"/>
                <w:i/>
              </w:rPr>
              <w:t>Taxation Administration Act 1953</w:t>
            </w:r>
            <w:r w:rsidR="001F38CC" w:rsidRPr="004943B2">
              <w:rPr>
                <w:rFonts w:asciiTheme="minorHAnsi" w:hAnsiTheme="minorHAnsi"/>
              </w:rPr>
              <w:t xml:space="preserve"> (</w:t>
            </w:r>
            <w:proofErr w:type="spellStart"/>
            <w:r w:rsidR="001F38CC" w:rsidRPr="004943B2">
              <w:rPr>
                <w:rFonts w:asciiTheme="minorHAnsi" w:hAnsiTheme="minorHAnsi"/>
              </w:rPr>
              <w:t>Cth</w:t>
            </w:r>
            <w:proofErr w:type="spellEnd"/>
            <w:r w:rsidR="001F38CC" w:rsidRPr="004943B2">
              <w:rPr>
                <w:rFonts w:asciiTheme="minorHAnsi" w:hAnsiTheme="minorHAnsi"/>
              </w:rPr>
              <w:t>).</w:t>
            </w:r>
          </w:p>
        </w:tc>
        <w:tc>
          <w:tcPr>
            <w:tcW w:w="850" w:type="dxa"/>
          </w:tcPr>
          <w:p w14:paraId="4A587C61" w14:textId="246D6A05" w:rsidR="001F38CC" w:rsidRPr="004943B2" w:rsidRDefault="001F38CC" w:rsidP="001F38CC">
            <w:pPr>
              <w:spacing w:before="40" w:after="40"/>
              <w:rPr>
                <w:rFonts w:asciiTheme="minorHAnsi" w:hAnsiTheme="minorHAnsi"/>
                <w:sz w:val="17"/>
              </w:rPr>
            </w:pPr>
            <w:r w:rsidRPr="004943B2">
              <w:rPr>
                <w:rFonts w:asciiTheme="minorHAnsi" w:hAnsiTheme="minorHAnsi"/>
                <w:sz w:val="17"/>
              </w:rPr>
              <w:t>E12</w:t>
            </w:r>
          </w:p>
        </w:tc>
        <w:tc>
          <w:tcPr>
            <w:tcW w:w="1928" w:type="dxa"/>
          </w:tcPr>
          <w:p w14:paraId="1488F632"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65598E5D"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37B77A73"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3FA8687C" w14:textId="14E16080" w:rsidR="001F38CC" w:rsidRPr="004943B2" w:rsidRDefault="001F38CC" w:rsidP="001F38CC">
            <w:pPr>
              <w:spacing w:after="0"/>
              <w:rPr>
                <w:rFonts w:asciiTheme="minorHAnsi" w:hAnsiTheme="minorHAnsi"/>
                <w:sz w:val="18"/>
              </w:rPr>
            </w:pPr>
            <w:r w:rsidRPr="004943B2">
              <w:rPr>
                <w:rFonts w:asciiTheme="minorHAnsi" w:hAnsiTheme="minorHAnsi"/>
                <w:sz w:val="16"/>
              </w:rPr>
              <w:t>……………………</w:t>
            </w:r>
          </w:p>
        </w:tc>
      </w:tr>
      <w:tr w:rsidR="001F38CC" w:rsidRPr="004943B2" w14:paraId="0B10507C" w14:textId="77777777" w:rsidTr="003D45F0">
        <w:trPr>
          <w:cantSplit/>
        </w:trPr>
        <w:tc>
          <w:tcPr>
            <w:tcW w:w="567" w:type="dxa"/>
          </w:tcPr>
          <w:p w14:paraId="34B05966"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18</w:t>
            </w:r>
          </w:p>
        </w:tc>
        <w:tc>
          <w:tcPr>
            <w:tcW w:w="6520" w:type="dxa"/>
          </w:tcPr>
          <w:p w14:paraId="6C62629D" w14:textId="167CA12C" w:rsidR="001F38CC" w:rsidRPr="004943B2" w:rsidRDefault="001F38CC" w:rsidP="001F38CC">
            <w:pPr>
              <w:spacing w:before="40" w:after="40"/>
              <w:rPr>
                <w:rFonts w:asciiTheme="minorHAnsi" w:hAnsiTheme="minorHAnsi"/>
                <w:lang w:val="en-AU"/>
              </w:rPr>
            </w:pPr>
            <w:r w:rsidRPr="004943B2">
              <w:rPr>
                <w:rFonts w:asciiTheme="minorHAnsi" w:hAnsiTheme="minorHAnsi"/>
              </w:rPr>
              <w:t xml:space="preserve">If received, the foreign resident </w:t>
            </w:r>
            <w:r w:rsidRPr="004943B2">
              <w:rPr>
                <w:rFonts w:asciiTheme="minorHAnsi" w:hAnsiTheme="minorHAnsi"/>
                <w:b/>
                <w:bCs/>
              </w:rPr>
              <w:t>capital gains withholding certificate</w:t>
            </w:r>
            <w:r w:rsidRPr="004943B2">
              <w:rPr>
                <w:rFonts w:asciiTheme="minorHAnsi" w:hAnsiTheme="minorHAnsi"/>
              </w:rPr>
              <w:t xml:space="preserve"> is included.</w:t>
            </w:r>
          </w:p>
        </w:tc>
        <w:tc>
          <w:tcPr>
            <w:tcW w:w="850" w:type="dxa"/>
          </w:tcPr>
          <w:p w14:paraId="156E0298"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E13</w:t>
            </w:r>
          </w:p>
        </w:tc>
        <w:tc>
          <w:tcPr>
            <w:tcW w:w="1928" w:type="dxa"/>
          </w:tcPr>
          <w:p w14:paraId="386647E0"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46E0413A"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24333AA5"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5C5D86FC"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05D8F52C" w14:textId="77777777" w:rsidTr="003D45F0">
        <w:trPr>
          <w:cantSplit/>
        </w:trPr>
        <w:tc>
          <w:tcPr>
            <w:tcW w:w="9865" w:type="dxa"/>
            <w:gridSpan w:val="4"/>
            <w:shd w:val="clear" w:color="auto" w:fill="EDE3D2"/>
          </w:tcPr>
          <w:p w14:paraId="0BEC5DD9" w14:textId="77777777" w:rsidR="001F38CC" w:rsidRPr="004943B2" w:rsidRDefault="001F38CC" w:rsidP="001F38CC">
            <w:pPr>
              <w:spacing w:before="40" w:after="40"/>
              <w:rPr>
                <w:rFonts w:asciiTheme="minorHAnsi" w:hAnsiTheme="minorHAnsi"/>
              </w:rPr>
            </w:pPr>
            <w:r w:rsidRPr="004943B2">
              <w:rPr>
                <w:rFonts w:asciiTheme="minorHAnsi" w:hAnsiTheme="minorHAnsi"/>
                <w:b/>
                <w:i/>
                <w:sz w:val="18"/>
              </w:rPr>
              <w:lastRenderedPageBreak/>
              <w:t xml:space="preserve">Only if: the land is leased or subject to a </w:t>
            </w:r>
            <w:proofErr w:type="spellStart"/>
            <w:r w:rsidRPr="004943B2">
              <w:rPr>
                <w:rFonts w:asciiTheme="minorHAnsi" w:hAnsiTheme="minorHAnsi"/>
                <w:b/>
                <w:i/>
                <w:sz w:val="18"/>
              </w:rPr>
              <w:t>licence</w:t>
            </w:r>
            <w:proofErr w:type="spellEnd"/>
          </w:p>
        </w:tc>
      </w:tr>
      <w:tr w:rsidR="001F38CC" w:rsidRPr="004943B2" w14:paraId="17B316C5" w14:textId="77777777" w:rsidTr="003D45F0">
        <w:trPr>
          <w:cantSplit/>
        </w:trPr>
        <w:tc>
          <w:tcPr>
            <w:tcW w:w="567" w:type="dxa"/>
          </w:tcPr>
          <w:p w14:paraId="6F425A52"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19</w:t>
            </w:r>
          </w:p>
        </w:tc>
        <w:tc>
          <w:tcPr>
            <w:tcW w:w="6520" w:type="dxa"/>
          </w:tcPr>
          <w:p w14:paraId="5F8FE49D" w14:textId="5777BA24" w:rsidR="001F38CC" w:rsidRPr="004943B2" w:rsidRDefault="001F38CC" w:rsidP="001F38CC">
            <w:pPr>
              <w:spacing w:before="40" w:after="40"/>
              <w:rPr>
                <w:rFonts w:asciiTheme="minorHAnsi" w:hAnsiTheme="minorHAnsi"/>
              </w:rPr>
            </w:pPr>
            <w:r w:rsidRPr="004943B2">
              <w:rPr>
                <w:rFonts w:asciiTheme="minorHAnsi" w:hAnsiTheme="minorHAnsi"/>
              </w:rPr>
              <w:t xml:space="preserve">The lease boxes checked in the contract particulars reflect the client’s instructions, and the lease or tenancy document is attached to </w:t>
            </w:r>
            <w:proofErr w:type="gramStart"/>
            <w:r w:rsidRPr="004943B2">
              <w:rPr>
                <w:rFonts w:asciiTheme="minorHAnsi" w:hAnsiTheme="minorHAnsi"/>
              </w:rPr>
              <w:t>the section</w:t>
            </w:r>
            <w:proofErr w:type="gramEnd"/>
            <w:r w:rsidRPr="004943B2">
              <w:rPr>
                <w:rFonts w:asciiTheme="minorHAnsi" w:hAnsiTheme="minorHAnsi"/>
              </w:rPr>
              <w:t xml:space="preserve"> 32 statement.</w:t>
            </w:r>
          </w:p>
        </w:tc>
        <w:tc>
          <w:tcPr>
            <w:tcW w:w="850" w:type="dxa"/>
          </w:tcPr>
          <w:p w14:paraId="2E42395F"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E14</w:t>
            </w:r>
          </w:p>
        </w:tc>
        <w:tc>
          <w:tcPr>
            <w:tcW w:w="1928" w:type="dxa"/>
          </w:tcPr>
          <w:p w14:paraId="3D9FBF4A"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347A4231"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514A1024"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215A13B7"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14E01B38" w14:textId="77777777" w:rsidTr="003D45F0">
        <w:trPr>
          <w:cantSplit/>
        </w:trPr>
        <w:tc>
          <w:tcPr>
            <w:tcW w:w="567" w:type="dxa"/>
          </w:tcPr>
          <w:p w14:paraId="4C7D3B63"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20</w:t>
            </w:r>
          </w:p>
        </w:tc>
        <w:tc>
          <w:tcPr>
            <w:tcW w:w="6520" w:type="dxa"/>
          </w:tcPr>
          <w:p w14:paraId="7B5C2B2A" w14:textId="1E9D2646" w:rsidR="001F38CC" w:rsidRPr="004943B2" w:rsidRDefault="001F38CC" w:rsidP="001F38CC">
            <w:pPr>
              <w:spacing w:before="40" w:after="40"/>
              <w:rPr>
                <w:rFonts w:asciiTheme="minorHAnsi" w:hAnsiTheme="minorHAnsi"/>
              </w:rPr>
            </w:pPr>
            <w:r w:rsidRPr="004943B2">
              <w:rPr>
                <w:rFonts w:asciiTheme="minorHAnsi" w:hAnsiTheme="minorHAnsi"/>
              </w:rPr>
              <w:t xml:space="preserve">Where the property is leased and it is not a residential tenancy within the </w:t>
            </w:r>
            <w:r w:rsidRPr="004943B2">
              <w:rPr>
                <w:rFonts w:asciiTheme="minorHAnsi" w:hAnsiTheme="minorHAnsi"/>
                <w:i/>
                <w:iCs/>
              </w:rPr>
              <w:t>Residential Tenancies Act 1997</w:t>
            </w:r>
            <w:r w:rsidRPr="004943B2">
              <w:rPr>
                <w:rFonts w:asciiTheme="minorHAnsi" w:hAnsiTheme="minorHAnsi"/>
              </w:rPr>
              <w:t xml:space="preserve"> (Vic), the contract contains an appropriate special condition dealing with, for example, the adjustment of the outgoings that the tenant is liable for under the lease, the security deposit, any bank guarantee, and any tenant arrears.</w:t>
            </w:r>
          </w:p>
        </w:tc>
        <w:tc>
          <w:tcPr>
            <w:tcW w:w="850" w:type="dxa"/>
          </w:tcPr>
          <w:p w14:paraId="19F0E12C"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E14</w:t>
            </w:r>
          </w:p>
        </w:tc>
        <w:tc>
          <w:tcPr>
            <w:tcW w:w="1928" w:type="dxa"/>
          </w:tcPr>
          <w:p w14:paraId="48FB12A6"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630756F3"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2B9F90A7"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237D317C"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5AB1D93D" w14:textId="77777777" w:rsidTr="003D45F0">
        <w:trPr>
          <w:cantSplit/>
        </w:trPr>
        <w:tc>
          <w:tcPr>
            <w:tcW w:w="567" w:type="dxa"/>
          </w:tcPr>
          <w:p w14:paraId="7480FD85"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21</w:t>
            </w:r>
          </w:p>
        </w:tc>
        <w:tc>
          <w:tcPr>
            <w:tcW w:w="6520" w:type="dxa"/>
          </w:tcPr>
          <w:p w14:paraId="138AD0C7" w14:textId="318C62E5" w:rsidR="001F38CC" w:rsidRPr="004943B2" w:rsidRDefault="001F38CC" w:rsidP="001F38CC">
            <w:pPr>
              <w:spacing w:before="40" w:after="40"/>
              <w:rPr>
                <w:rFonts w:asciiTheme="minorHAnsi" w:hAnsiTheme="minorHAnsi"/>
              </w:rPr>
            </w:pPr>
            <w:r w:rsidRPr="004943B2">
              <w:rPr>
                <w:rFonts w:asciiTheme="minorHAnsi" w:hAnsiTheme="minorHAnsi"/>
              </w:rPr>
              <w:t xml:space="preserve">Any </w:t>
            </w:r>
            <w:proofErr w:type="spellStart"/>
            <w:r w:rsidRPr="004943B2">
              <w:rPr>
                <w:rFonts w:asciiTheme="minorHAnsi" w:hAnsiTheme="minorHAnsi"/>
                <w:b/>
                <w:bCs/>
              </w:rPr>
              <w:t>licence</w:t>
            </w:r>
            <w:proofErr w:type="spellEnd"/>
            <w:r w:rsidRPr="004943B2">
              <w:rPr>
                <w:rFonts w:asciiTheme="minorHAnsi" w:hAnsiTheme="minorHAnsi"/>
                <w:b/>
                <w:bCs/>
              </w:rPr>
              <w:t xml:space="preserve"> granted over the land</w:t>
            </w:r>
            <w:r w:rsidRPr="004943B2">
              <w:rPr>
                <w:rFonts w:asciiTheme="minorHAnsi" w:hAnsiTheme="minorHAnsi"/>
              </w:rPr>
              <w:t xml:space="preserve"> being sold is identified, the contract contains a special condition dealing with it, and a copy is annexed to </w:t>
            </w:r>
            <w:proofErr w:type="gramStart"/>
            <w:r w:rsidRPr="004943B2">
              <w:rPr>
                <w:rFonts w:asciiTheme="minorHAnsi" w:hAnsiTheme="minorHAnsi"/>
              </w:rPr>
              <w:t>the section</w:t>
            </w:r>
            <w:proofErr w:type="gramEnd"/>
            <w:r w:rsidRPr="004943B2">
              <w:rPr>
                <w:rFonts w:asciiTheme="minorHAnsi" w:hAnsiTheme="minorHAnsi"/>
              </w:rPr>
              <w:t xml:space="preserve"> 32 statement for convenience.</w:t>
            </w:r>
          </w:p>
        </w:tc>
        <w:tc>
          <w:tcPr>
            <w:tcW w:w="850" w:type="dxa"/>
          </w:tcPr>
          <w:p w14:paraId="4F7826B4"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E14</w:t>
            </w:r>
          </w:p>
        </w:tc>
        <w:tc>
          <w:tcPr>
            <w:tcW w:w="1928" w:type="dxa"/>
          </w:tcPr>
          <w:p w14:paraId="4F719B03"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545490D7"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4B455E46"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3F3E78EC"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4DB9A99B" w14:textId="77777777" w:rsidTr="003D45F0">
        <w:trPr>
          <w:cantSplit/>
        </w:trPr>
        <w:tc>
          <w:tcPr>
            <w:tcW w:w="567" w:type="dxa"/>
          </w:tcPr>
          <w:p w14:paraId="73E7DB63"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22</w:t>
            </w:r>
          </w:p>
        </w:tc>
        <w:tc>
          <w:tcPr>
            <w:tcW w:w="6520" w:type="dxa"/>
          </w:tcPr>
          <w:p w14:paraId="20D86A31" w14:textId="3990753E" w:rsidR="001F38CC" w:rsidRPr="004943B2" w:rsidRDefault="001F38CC" w:rsidP="001F38CC">
            <w:pPr>
              <w:spacing w:before="40" w:after="40"/>
              <w:rPr>
                <w:rFonts w:asciiTheme="minorHAnsi" w:hAnsiTheme="minorHAnsi"/>
              </w:rPr>
            </w:pPr>
            <w:r w:rsidRPr="004943B2">
              <w:rPr>
                <w:rFonts w:asciiTheme="minorHAnsi" w:hAnsiTheme="minorHAnsi"/>
              </w:rPr>
              <w:t xml:space="preserve">Subject to the client’s instructions, any </w:t>
            </w:r>
            <w:proofErr w:type="spellStart"/>
            <w:r w:rsidRPr="004943B2">
              <w:rPr>
                <w:rFonts w:asciiTheme="minorHAnsi" w:hAnsiTheme="minorHAnsi"/>
                <w:b/>
                <w:bCs/>
              </w:rPr>
              <w:t>licence</w:t>
            </w:r>
            <w:proofErr w:type="spellEnd"/>
            <w:r w:rsidRPr="004943B2">
              <w:rPr>
                <w:rFonts w:asciiTheme="minorHAnsi" w:hAnsiTheme="minorHAnsi"/>
                <w:b/>
                <w:bCs/>
              </w:rPr>
              <w:t>, lease or agreement over third party land</w:t>
            </w:r>
            <w:r w:rsidRPr="004943B2">
              <w:rPr>
                <w:rFonts w:asciiTheme="minorHAnsi" w:hAnsiTheme="minorHAnsi"/>
              </w:rPr>
              <w:t xml:space="preserve"> in </w:t>
            </w:r>
            <w:proofErr w:type="spellStart"/>
            <w:r w:rsidRPr="004943B2">
              <w:rPr>
                <w:rFonts w:asciiTheme="minorHAnsi" w:hAnsiTheme="minorHAnsi"/>
              </w:rPr>
              <w:t>favour</w:t>
            </w:r>
            <w:proofErr w:type="spellEnd"/>
            <w:r w:rsidRPr="004943B2">
              <w:rPr>
                <w:rFonts w:asciiTheme="minorHAnsi" w:hAnsiTheme="minorHAnsi"/>
              </w:rPr>
              <w:t xml:space="preserve"> of the vendor is identified and dealt with by a special condition contained in the contract (for example, a car stacker </w:t>
            </w:r>
            <w:proofErr w:type="spellStart"/>
            <w:r w:rsidRPr="004943B2">
              <w:rPr>
                <w:rFonts w:asciiTheme="minorHAnsi" w:hAnsiTheme="minorHAnsi"/>
              </w:rPr>
              <w:t>licence</w:t>
            </w:r>
            <w:proofErr w:type="spellEnd"/>
            <w:r w:rsidRPr="004943B2">
              <w:rPr>
                <w:rFonts w:asciiTheme="minorHAnsi" w:hAnsiTheme="minorHAnsi"/>
              </w:rPr>
              <w:t xml:space="preserve"> or a crown </w:t>
            </w:r>
            <w:proofErr w:type="spellStart"/>
            <w:r w:rsidRPr="004943B2">
              <w:rPr>
                <w:rFonts w:asciiTheme="minorHAnsi" w:hAnsiTheme="minorHAnsi"/>
              </w:rPr>
              <w:t>licence</w:t>
            </w:r>
            <w:proofErr w:type="spellEnd"/>
            <w:r w:rsidRPr="004943B2">
              <w:rPr>
                <w:rFonts w:asciiTheme="minorHAnsi" w:hAnsiTheme="minorHAnsi"/>
              </w:rPr>
              <w:t xml:space="preserve">), and a copy of the </w:t>
            </w:r>
            <w:proofErr w:type="spellStart"/>
            <w:r w:rsidRPr="004943B2">
              <w:rPr>
                <w:rFonts w:asciiTheme="minorHAnsi" w:hAnsiTheme="minorHAnsi"/>
              </w:rPr>
              <w:t>licence</w:t>
            </w:r>
            <w:proofErr w:type="spellEnd"/>
            <w:r w:rsidRPr="004943B2">
              <w:rPr>
                <w:rFonts w:asciiTheme="minorHAnsi" w:hAnsiTheme="minorHAnsi"/>
              </w:rPr>
              <w:t xml:space="preserve"> is annexed to the section 32 statement for convenience.</w:t>
            </w:r>
          </w:p>
        </w:tc>
        <w:tc>
          <w:tcPr>
            <w:tcW w:w="850" w:type="dxa"/>
          </w:tcPr>
          <w:p w14:paraId="296E8BC8"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E14</w:t>
            </w:r>
          </w:p>
        </w:tc>
        <w:tc>
          <w:tcPr>
            <w:tcW w:w="1928" w:type="dxa"/>
          </w:tcPr>
          <w:p w14:paraId="10F5310E"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29679ECF"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074431EF"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5E3C6348"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02E12AC6" w14:textId="77777777" w:rsidTr="003D45F0">
        <w:trPr>
          <w:cantSplit/>
        </w:trPr>
        <w:tc>
          <w:tcPr>
            <w:tcW w:w="9865" w:type="dxa"/>
            <w:gridSpan w:val="4"/>
            <w:shd w:val="clear" w:color="auto" w:fill="EDE3D2"/>
          </w:tcPr>
          <w:p w14:paraId="66AC8117" w14:textId="77777777" w:rsidR="001F38CC" w:rsidRPr="004943B2" w:rsidRDefault="001F38CC" w:rsidP="001F38CC">
            <w:pPr>
              <w:spacing w:before="40" w:after="40"/>
              <w:rPr>
                <w:rFonts w:asciiTheme="minorHAnsi" w:hAnsiTheme="minorHAnsi"/>
              </w:rPr>
            </w:pPr>
            <w:r w:rsidRPr="004943B2">
              <w:rPr>
                <w:rFonts w:asciiTheme="minorHAnsi" w:hAnsiTheme="minorHAnsi"/>
                <w:b/>
                <w:i/>
                <w:sz w:val="18"/>
              </w:rPr>
              <w:t xml:space="preserve">End of lease and </w:t>
            </w:r>
            <w:proofErr w:type="spellStart"/>
            <w:r w:rsidRPr="004943B2">
              <w:rPr>
                <w:rFonts w:asciiTheme="minorHAnsi" w:hAnsiTheme="minorHAnsi"/>
                <w:b/>
                <w:i/>
                <w:sz w:val="18"/>
              </w:rPr>
              <w:t>licence</w:t>
            </w:r>
            <w:proofErr w:type="spellEnd"/>
            <w:r w:rsidRPr="004943B2">
              <w:rPr>
                <w:rFonts w:asciiTheme="minorHAnsi" w:hAnsiTheme="minorHAnsi"/>
                <w:b/>
                <w:i/>
                <w:sz w:val="18"/>
              </w:rPr>
              <w:t xml:space="preserve"> block</w:t>
            </w:r>
          </w:p>
        </w:tc>
      </w:tr>
      <w:tr w:rsidR="001F38CC" w:rsidRPr="004943B2" w14:paraId="6B0AF2E6" w14:textId="77777777" w:rsidTr="003D45F0">
        <w:trPr>
          <w:cantSplit/>
        </w:trPr>
        <w:tc>
          <w:tcPr>
            <w:tcW w:w="567" w:type="dxa"/>
          </w:tcPr>
          <w:p w14:paraId="13329220"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23</w:t>
            </w:r>
          </w:p>
        </w:tc>
        <w:tc>
          <w:tcPr>
            <w:tcW w:w="6520" w:type="dxa"/>
          </w:tcPr>
          <w:p w14:paraId="0C300135" w14:textId="54F3E0C8" w:rsidR="001F38CC" w:rsidRPr="004943B2" w:rsidRDefault="001F38CC" w:rsidP="001F38CC">
            <w:pPr>
              <w:spacing w:before="40" w:after="40"/>
              <w:rPr>
                <w:rFonts w:asciiTheme="minorHAnsi" w:hAnsiTheme="minorHAnsi"/>
              </w:rPr>
            </w:pPr>
            <w:r w:rsidRPr="004943B2">
              <w:rPr>
                <w:rFonts w:asciiTheme="minorHAnsi" w:hAnsiTheme="minorHAnsi"/>
              </w:rPr>
              <w:t xml:space="preserve">The contract has been tested against both </w:t>
            </w:r>
            <w:r w:rsidRPr="004943B2">
              <w:rPr>
                <w:rFonts w:asciiTheme="minorHAnsi" w:hAnsiTheme="minorHAnsi"/>
                <w:b/>
                <w:bCs/>
              </w:rPr>
              <w:t>terms contract</w:t>
            </w:r>
            <w:r w:rsidRPr="004943B2">
              <w:rPr>
                <w:rFonts w:asciiTheme="minorHAnsi" w:hAnsiTheme="minorHAnsi"/>
              </w:rPr>
              <w:t xml:space="preserve"> triggers under section </w:t>
            </w:r>
            <w:hyperlink r:id="rId12" w:history="1">
              <w:r w:rsidRPr="004943B2">
                <w:rPr>
                  <w:rStyle w:val="Hyperlink"/>
                </w:rPr>
                <w:t>29A of the Sale of Land Act</w:t>
              </w:r>
            </w:hyperlink>
            <w:r w:rsidRPr="004943B2">
              <w:rPr>
                <w:rFonts w:asciiTheme="minorHAnsi" w:hAnsiTheme="minorHAnsi"/>
              </w:rPr>
              <w:t>.</w:t>
            </w:r>
          </w:p>
          <w:p w14:paraId="6D0E145A" w14:textId="14E1D74D" w:rsidR="001F38CC" w:rsidRPr="004943B2" w:rsidRDefault="001F38CC" w:rsidP="001F38CC">
            <w:pPr>
              <w:spacing w:before="40" w:after="40"/>
              <w:rPr>
                <w:rFonts w:asciiTheme="minorHAnsi" w:hAnsiTheme="minorHAnsi"/>
              </w:rPr>
            </w:pPr>
            <w:proofErr w:type="gramStart"/>
            <w:r w:rsidRPr="004943B2">
              <w:rPr>
                <w:rFonts w:asciiTheme="minorHAnsi" w:hAnsiTheme="minorHAnsi"/>
              </w:rPr>
              <w:t>Where</w:t>
            </w:r>
            <w:proofErr w:type="gramEnd"/>
            <w:r w:rsidRPr="004943B2">
              <w:rPr>
                <w:rFonts w:asciiTheme="minorHAnsi" w:hAnsiTheme="minorHAnsi"/>
              </w:rPr>
              <w:t xml:space="preserve"> either trigger applies, the terms contract box is checked in the particulars of sale, and the additional requirements under the Sale of Land Act are met, including where applicable annexure to the section 32 statement:</w:t>
            </w:r>
          </w:p>
          <w:p w14:paraId="677CA52F" w14:textId="5D43CF4B" w:rsidR="001F38CC" w:rsidRPr="004943B2" w:rsidRDefault="001F38CC" w:rsidP="001F38CC">
            <w:pPr>
              <w:pStyle w:val="ListParagraph"/>
              <w:numPr>
                <w:ilvl w:val="0"/>
                <w:numId w:val="23"/>
              </w:numPr>
              <w:spacing w:before="40" w:after="40"/>
              <w:rPr>
                <w:rFonts w:asciiTheme="minorHAnsi" w:hAnsiTheme="minorHAnsi"/>
              </w:rPr>
            </w:pPr>
            <w:r w:rsidRPr="004943B2">
              <w:rPr>
                <w:rFonts w:asciiTheme="minorHAnsi" w:hAnsiTheme="minorHAnsi"/>
              </w:rPr>
              <w:t xml:space="preserve">Schedule 1 (where there is a mortgage which is not to be discharged before the purchaser is entitled to possession or to the receipt of rents and profits, see </w:t>
            </w:r>
            <w:hyperlink r:id="rId13" w:history="1">
              <w:r w:rsidRPr="004943B2">
                <w:rPr>
                  <w:rStyle w:val="Hyperlink"/>
                </w:rPr>
                <w:t>section 32A(a) of the Sale of Land Act</w:t>
              </w:r>
            </w:hyperlink>
            <w:r w:rsidRPr="004943B2">
              <w:rPr>
                <w:rFonts w:asciiTheme="minorHAnsi" w:hAnsiTheme="minorHAnsi"/>
              </w:rPr>
              <w:t>), and/or</w:t>
            </w:r>
          </w:p>
          <w:p w14:paraId="161C7ED7" w14:textId="5405B585" w:rsidR="001F38CC" w:rsidRPr="004943B2" w:rsidRDefault="001F38CC" w:rsidP="001F38CC">
            <w:pPr>
              <w:pStyle w:val="ListParagraph"/>
              <w:numPr>
                <w:ilvl w:val="0"/>
                <w:numId w:val="23"/>
              </w:numPr>
              <w:spacing w:before="40" w:after="40"/>
              <w:rPr>
                <w:rFonts w:asciiTheme="minorHAnsi" w:hAnsiTheme="minorHAnsi"/>
                <w:lang w:val="en-AU"/>
              </w:rPr>
            </w:pPr>
            <w:r w:rsidRPr="004943B2">
              <w:rPr>
                <w:rFonts w:asciiTheme="minorHAnsi" w:hAnsiTheme="minorHAnsi"/>
              </w:rPr>
              <w:t xml:space="preserve">Schedule 2 (where the purchaser is obliged to make 2 or more payments to the vendor after the execution of the contract and before the purchaser is entitled to a conveyance or transfer of the land, see </w:t>
            </w:r>
            <w:hyperlink r:id="rId14" w:history="1">
              <w:r w:rsidRPr="004943B2">
                <w:rPr>
                  <w:rStyle w:val="Hyperlink"/>
                </w:rPr>
                <w:t>section 32A(d) of the Sale of Land Act</w:t>
              </w:r>
            </w:hyperlink>
            <w:r w:rsidRPr="004943B2">
              <w:rPr>
                <w:rFonts w:asciiTheme="minorHAnsi" w:hAnsiTheme="minorHAnsi"/>
              </w:rPr>
              <w:t xml:space="preserve">), </w:t>
            </w:r>
          </w:p>
        </w:tc>
        <w:tc>
          <w:tcPr>
            <w:tcW w:w="850" w:type="dxa"/>
          </w:tcPr>
          <w:p w14:paraId="5E3AC4D6"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E15</w:t>
            </w:r>
          </w:p>
        </w:tc>
        <w:tc>
          <w:tcPr>
            <w:tcW w:w="1928" w:type="dxa"/>
          </w:tcPr>
          <w:p w14:paraId="0F9E3191"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42E049C3"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317A9F9F"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484A722D"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2BEE5671" w14:textId="77777777" w:rsidTr="003D45F0">
        <w:trPr>
          <w:cantSplit/>
        </w:trPr>
        <w:tc>
          <w:tcPr>
            <w:tcW w:w="567" w:type="dxa"/>
          </w:tcPr>
          <w:p w14:paraId="1E15577F"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24</w:t>
            </w:r>
          </w:p>
        </w:tc>
        <w:tc>
          <w:tcPr>
            <w:tcW w:w="6520" w:type="dxa"/>
          </w:tcPr>
          <w:p w14:paraId="33CA5304" w14:textId="51E2D7A7" w:rsidR="001F38CC" w:rsidRPr="004943B2" w:rsidRDefault="001F38CC" w:rsidP="001F38CC">
            <w:pPr>
              <w:spacing w:before="40" w:after="40"/>
              <w:rPr>
                <w:rFonts w:asciiTheme="minorHAnsi" w:hAnsiTheme="minorHAnsi"/>
              </w:rPr>
            </w:pPr>
            <w:r w:rsidRPr="004943B2">
              <w:rPr>
                <w:rFonts w:asciiTheme="minorHAnsi" w:hAnsiTheme="minorHAnsi"/>
              </w:rPr>
              <w:t xml:space="preserve">Where the sale price is at or above the ‘threshold amount’ (as defined under the Sale of Land Act), consider and seek the client’s instructions whether the contract requires a special condition dealing with </w:t>
            </w:r>
            <w:r w:rsidRPr="004943B2">
              <w:rPr>
                <w:rFonts w:asciiTheme="minorHAnsi" w:hAnsiTheme="minorHAnsi"/>
                <w:b/>
                <w:bCs/>
              </w:rPr>
              <w:t>apportionment</w:t>
            </w:r>
            <w:r w:rsidRPr="004943B2">
              <w:rPr>
                <w:rFonts w:asciiTheme="minorHAnsi" w:hAnsiTheme="minorHAnsi"/>
              </w:rPr>
              <w:t xml:space="preserve"> of land tax or CIPT.</w:t>
            </w:r>
          </w:p>
        </w:tc>
        <w:tc>
          <w:tcPr>
            <w:tcW w:w="850" w:type="dxa"/>
          </w:tcPr>
          <w:p w14:paraId="73DF9CE9"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E16</w:t>
            </w:r>
          </w:p>
        </w:tc>
        <w:tc>
          <w:tcPr>
            <w:tcW w:w="1928" w:type="dxa"/>
          </w:tcPr>
          <w:p w14:paraId="64939C64"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0DE38B03"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6D58AE08"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7E194EBB"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1C161FDA" w14:textId="77777777" w:rsidTr="003D45F0">
        <w:trPr>
          <w:cantSplit/>
        </w:trPr>
        <w:tc>
          <w:tcPr>
            <w:tcW w:w="567" w:type="dxa"/>
          </w:tcPr>
          <w:p w14:paraId="7177064A"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25</w:t>
            </w:r>
          </w:p>
        </w:tc>
        <w:tc>
          <w:tcPr>
            <w:tcW w:w="6520" w:type="dxa"/>
          </w:tcPr>
          <w:p w14:paraId="7E392B88" w14:textId="4703FB00" w:rsidR="001F38CC" w:rsidRPr="004943B2" w:rsidRDefault="001F38CC" w:rsidP="001F38CC">
            <w:pPr>
              <w:spacing w:before="40" w:after="40"/>
              <w:rPr>
                <w:rFonts w:asciiTheme="minorHAnsi" w:hAnsiTheme="minorHAnsi"/>
                <w:lang w:val="en-AU"/>
              </w:rPr>
            </w:pPr>
            <w:r w:rsidRPr="004943B2">
              <w:rPr>
                <w:rFonts w:asciiTheme="minorHAnsi" w:hAnsiTheme="minorHAnsi"/>
              </w:rPr>
              <w:t xml:space="preserve">Where the vendor has an existing </w:t>
            </w:r>
            <w:r w:rsidRPr="004943B2">
              <w:rPr>
                <w:rFonts w:asciiTheme="minorHAnsi" w:hAnsiTheme="minorHAnsi"/>
                <w:b/>
                <w:bCs/>
              </w:rPr>
              <w:t>windfall gains tax</w:t>
            </w:r>
            <w:r w:rsidRPr="004943B2">
              <w:rPr>
                <w:rFonts w:asciiTheme="minorHAnsi" w:hAnsiTheme="minorHAnsi"/>
              </w:rPr>
              <w:t xml:space="preserve"> liability, ensure that the contract </w:t>
            </w:r>
            <w:r w:rsidRPr="004943B2">
              <w:rPr>
                <w:rFonts w:asciiTheme="minorHAnsi" w:hAnsiTheme="minorHAnsi"/>
                <w:b/>
                <w:bCs/>
              </w:rPr>
              <w:t>does not</w:t>
            </w:r>
            <w:r w:rsidRPr="004943B2">
              <w:rPr>
                <w:rFonts w:asciiTheme="minorHAnsi" w:hAnsiTheme="minorHAnsi"/>
              </w:rPr>
              <w:t xml:space="preserve"> contain any </w:t>
            </w:r>
            <w:proofErr w:type="gramStart"/>
            <w:r w:rsidRPr="004943B2">
              <w:rPr>
                <w:rFonts w:asciiTheme="minorHAnsi" w:hAnsiTheme="minorHAnsi"/>
              </w:rPr>
              <w:t>condition</w:t>
            </w:r>
            <w:proofErr w:type="gramEnd"/>
            <w:r w:rsidRPr="004943B2">
              <w:rPr>
                <w:rFonts w:asciiTheme="minorHAnsi" w:hAnsiTheme="minorHAnsi"/>
              </w:rPr>
              <w:t xml:space="preserve"> attempting to pass all or any part of the WGT liability on to the purchaser, which is prohibited under section 10H of the Sale of Land Act.</w:t>
            </w:r>
          </w:p>
        </w:tc>
        <w:tc>
          <w:tcPr>
            <w:tcW w:w="850" w:type="dxa"/>
          </w:tcPr>
          <w:p w14:paraId="7247FAE9"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E17</w:t>
            </w:r>
          </w:p>
        </w:tc>
        <w:tc>
          <w:tcPr>
            <w:tcW w:w="1928" w:type="dxa"/>
          </w:tcPr>
          <w:p w14:paraId="4E71BC3F"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7C4FA39C"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16449900"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60AE5C41"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7BA905C0" w14:textId="77777777" w:rsidTr="003D45F0">
        <w:trPr>
          <w:cantSplit/>
        </w:trPr>
        <w:tc>
          <w:tcPr>
            <w:tcW w:w="567" w:type="dxa"/>
          </w:tcPr>
          <w:p w14:paraId="17D0B9CD"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lastRenderedPageBreak/>
              <w:t>26</w:t>
            </w:r>
          </w:p>
        </w:tc>
        <w:tc>
          <w:tcPr>
            <w:tcW w:w="6520" w:type="dxa"/>
          </w:tcPr>
          <w:p w14:paraId="3D74AB84" w14:textId="5FED8A30" w:rsidR="001F38CC" w:rsidRPr="004943B2" w:rsidRDefault="001F38CC" w:rsidP="001F38CC">
            <w:pPr>
              <w:spacing w:before="40" w:after="40"/>
              <w:rPr>
                <w:rFonts w:asciiTheme="minorHAnsi" w:hAnsiTheme="minorHAnsi"/>
              </w:rPr>
            </w:pPr>
            <w:r w:rsidRPr="004943B2">
              <w:rPr>
                <w:rFonts w:asciiTheme="minorHAnsi" w:hAnsiTheme="minorHAnsi"/>
              </w:rPr>
              <w:t xml:space="preserve">Where there is a possibility of </w:t>
            </w:r>
            <w:r w:rsidRPr="004943B2">
              <w:rPr>
                <w:rFonts w:asciiTheme="minorHAnsi" w:hAnsiTheme="minorHAnsi"/>
                <w:b/>
                <w:bCs/>
              </w:rPr>
              <w:t>rezoning</w:t>
            </w:r>
            <w:r w:rsidRPr="004943B2">
              <w:rPr>
                <w:rFonts w:asciiTheme="minorHAnsi" w:hAnsiTheme="minorHAnsi"/>
              </w:rPr>
              <w:t xml:space="preserve"> after the day of sale, consider and obtain the client’s instructions whether the contract of sale requires any special condition apportioning all or part of any potential WGT liability between the vendor and purchaser.</w:t>
            </w:r>
          </w:p>
        </w:tc>
        <w:tc>
          <w:tcPr>
            <w:tcW w:w="850" w:type="dxa"/>
          </w:tcPr>
          <w:p w14:paraId="3FE4A9B7"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E17</w:t>
            </w:r>
          </w:p>
        </w:tc>
        <w:tc>
          <w:tcPr>
            <w:tcW w:w="1928" w:type="dxa"/>
          </w:tcPr>
          <w:p w14:paraId="424FA540"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048364F1"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3FC4191D"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610443C7"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55E0E816" w14:textId="77777777" w:rsidTr="003D45F0">
        <w:trPr>
          <w:cantSplit/>
        </w:trPr>
        <w:tc>
          <w:tcPr>
            <w:tcW w:w="567" w:type="dxa"/>
          </w:tcPr>
          <w:p w14:paraId="1E4E9C80"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27</w:t>
            </w:r>
          </w:p>
        </w:tc>
        <w:tc>
          <w:tcPr>
            <w:tcW w:w="6520" w:type="dxa"/>
          </w:tcPr>
          <w:p w14:paraId="48D696D1" w14:textId="314ECA17" w:rsidR="001F38CC" w:rsidRPr="004943B2" w:rsidRDefault="001F38CC" w:rsidP="001F38CC">
            <w:pPr>
              <w:spacing w:before="40" w:after="40"/>
              <w:rPr>
                <w:rFonts w:asciiTheme="minorHAnsi" w:hAnsiTheme="minorHAnsi"/>
                <w:lang w:val="en-AU"/>
              </w:rPr>
            </w:pPr>
            <w:r w:rsidRPr="004943B2">
              <w:rPr>
                <w:rFonts w:asciiTheme="minorHAnsi" w:hAnsiTheme="minorHAnsi"/>
              </w:rPr>
              <w:t xml:space="preserve">Where the vendor is selling separately tradable </w:t>
            </w:r>
            <w:r w:rsidRPr="004943B2">
              <w:rPr>
                <w:rFonts w:asciiTheme="minorHAnsi" w:hAnsiTheme="minorHAnsi"/>
                <w:b/>
                <w:bCs/>
              </w:rPr>
              <w:t xml:space="preserve">water entitlements or </w:t>
            </w:r>
            <w:proofErr w:type="spellStart"/>
            <w:r w:rsidRPr="004943B2">
              <w:rPr>
                <w:rFonts w:asciiTheme="minorHAnsi" w:hAnsiTheme="minorHAnsi"/>
                <w:b/>
                <w:bCs/>
              </w:rPr>
              <w:t>licences</w:t>
            </w:r>
            <w:proofErr w:type="spellEnd"/>
            <w:r w:rsidRPr="004943B2">
              <w:rPr>
                <w:rFonts w:asciiTheme="minorHAnsi" w:hAnsiTheme="minorHAnsi"/>
              </w:rPr>
              <w:t xml:space="preserve"> with the property, the contract includes a special condition dealing with them, and for convenience any documentation relating to the water entitlements </w:t>
            </w:r>
            <w:proofErr w:type="gramStart"/>
            <w:r w:rsidRPr="004943B2">
              <w:rPr>
                <w:rFonts w:asciiTheme="minorHAnsi" w:hAnsiTheme="minorHAnsi"/>
              </w:rPr>
              <w:t>are</w:t>
            </w:r>
            <w:proofErr w:type="gramEnd"/>
            <w:r w:rsidRPr="004943B2">
              <w:rPr>
                <w:rFonts w:asciiTheme="minorHAnsi" w:hAnsiTheme="minorHAnsi"/>
              </w:rPr>
              <w:t xml:space="preserve"> annexed to the section 32 statement. </w:t>
            </w:r>
          </w:p>
        </w:tc>
        <w:tc>
          <w:tcPr>
            <w:tcW w:w="850" w:type="dxa"/>
          </w:tcPr>
          <w:p w14:paraId="6B64B23B"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E18</w:t>
            </w:r>
          </w:p>
        </w:tc>
        <w:tc>
          <w:tcPr>
            <w:tcW w:w="1928" w:type="dxa"/>
          </w:tcPr>
          <w:p w14:paraId="11166744"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2384497D"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2503F337"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23963E4D"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7EBCAAF5" w14:textId="77777777" w:rsidTr="003D45F0">
        <w:trPr>
          <w:cantSplit/>
        </w:trPr>
        <w:tc>
          <w:tcPr>
            <w:tcW w:w="567" w:type="dxa"/>
          </w:tcPr>
          <w:p w14:paraId="30348536"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28</w:t>
            </w:r>
          </w:p>
        </w:tc>
        <w:tc>
          <w:tcPr>
            <w:tcW w:w="6520" w:type="dxa"/>
          </w:tcPr>
          <w:p w14:paraId="69E72DB3" w14:textId="3D9238D0" w:rsidR="001F38CC" w:rsidRPr="004943B2" w:rsidRDefault="001F38CC" w:rsidP="001F38CC">
            <w:pPr>
              <w:spacing w:before="40" w:after="40"/>
              <w:rPr>
                <w:rFonts w:asciiTheme="minorHAnsi" w:hAnsiTheme="minorHAnsi"/>
                <w:lang w:val="en-AU"/>
              </w:rPr>
            </w:pPr>
            <w:r w:rsidRPr="004943B2">
              <w:rPr>
                <w:rFonts w:asciiTheme="minorHAnsi" w:hAnsiTheme="minorHAnsi"/>
              </w:rPr>
              <w:t xml:space="preserve">Special conditions addressing any </w:t>
            </w:r>
            <w:r w:rsidRPr="004943B2">
              <w:rPr>
                <w:rFonts w:asciiTheme="minorHAnsi" w:hAnsiTheme="minorHAnsi"/>
                <w:b/>
                <w:bCs/>
              </w:rPr>
              <w:t>material facts</w:t>
            </w:r>
            <w:r w:rsidRPr="004943B2">
              <w:rPr>
                <w:rFonts w:asciiTheme="minorHAnsi" w:hAnsiTheme="minorHAnsi"/>
              </w:rPr>
              <w:t>.</w:t>
            </w:r>
          </w:p>
        </w:tc>
        <w:tc>
          <w:tcPr>
            <w:tcW w:w="850" w:type="dxa"/>
          </w:tcPr>
          <w:p w14:paraId="64D117FF"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E19</w:t>
            </w:r>
          </w:p>
        </w:tc>
        <w:tc>
          <w:tcPr>
            <w:tcW w:w="1928" w:type="dxa"/>
          </w:tcPr>
          <w:p w14:paraId="44928806"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447927B8"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76F59A01"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4722023D"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7FFD0BE5" w14:textId="77777777" w:rsidTr="003D45F0">
        <w:trPr>
          <w:cantSplit/>
        </w:trPr>
        <w:tc>
          <w:tcPr>
            <w:tcW w:w="9865" w:type="dxa"/>
            <w:gridSpan w:val="4"/>
            <w:shd w:val="clear" w:color="auto" w:fill="EDE3D2"/>
          </w:tcPr>
          <w:p w14:paraId="26F7802D" w14:textId="77777777" w:rsidR="001F38CC" w:rsidRPr="004943B2" w:rsidRDefault="001F38CC" w:rsidP="001F38CC">
            <w:pPr>
              <w:spacing w:before="40" w:after="40"/>
              <w:rPr>
                <w:rFonts w:asciiTheme="minorHAnsi" w:hAnsiTheme="minorHAnsi"/>
              </w:rPr>
            </w:pPr>
            <w:r w:rsidRPr="004943B2">
              <w:rPr>
                <w:rFonts w:asciiTheme="minorHAnsi" w:hAnsiTheme="minorHAnsi"/>
                <w:b/>
                <w:i/>
                <w:sz w:val="18"/>
              </w:rPr>
              <w:t>Only if: off the plan or a lot on an unregistered plan</w:t>
            </w:r>
          </w:p>
        </w:tc>
      </w:tr>
      <w:tr w:rsidR="001F38CC" w:rsidRPr="004943B2" w14:paraId="0BF8A3F3" w14:textId="77777777" w:rsidTr="003D45F0">
        <w:trPr>
          <w:cantSplit/>
        </w:trPr>
        <w:tc>
          <w:tcPr>
            <w:tcW w:w="567" w:type="dxa"/>
          </w:tcPr>
          <w:p w14:paraId="29BE5052"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29</w:t>
            </w:r>
          </w:p>
        </w:tc>
        <w:tc>
          <w:tcPr>
            <w:tcW w:w="6520" w:type="dxa"/>
          </w:tcPr>
          <w:p w14:paraId="051C24A5" w14:textId="434E6842" w:rsidR="001F38CC" w:rsidRPr="004943B2" w:rsidRDefault="001F38CC" w:rsidP="001F38CC">
            <w:pPr>
              <w:spacing w:before="40" w:after="40"/>
              <w:rPr>
                <w:rFonts w:asciiTheme="minorHAnsi" w:hAnsiTheme="minorHAnsi"/>
              </w:rPr>
            </w:pPr>
            <w:r w:rsidRPr="004943B2">
              <w:rPr>
                <w:rFonts w:asciiTheme="minorHAnsi" w:hAnsiTheme="minorHAnsi"/>
              </w:rPr>
              <w:t xml:space="preserve">The lot being sold and the </w:t>
            </w:r>
            <w:r w:rsidRPr="004943B2">
              <w:rPr>
                <w:rFonts w:asciiTheme="minorHAnsi" w:hAnsiTheme="minorHAnsi"/>
                <w:b/>
                <w:bCs/>
              </w:rPr>
              <w:t>particulars</w:t>
            </w:r>
            <w:r w:rsidRPr="004943B2">
              <w:rPr>
                <w:rFonts w:asciiTheme="minorHAnsi" w:hAnsiTheme="minorHAnsi"/>
              </w:rPr>
              <w:t xml:space="preserve"> of the unregistered plan of subdivision are correct in the contract particulars of sale.</w:t>
            </w:r>
          </w:p>
        </w:tc>
        <w:tc>
          <w:tcPr>
            <w:tcW w:w="850" w:type="dxa"/>
          </w:tcPr>
          <w:p w14:paraId="23B69307"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E20</w:t>
            </w:r>
          </w:p>
        </w:tc>
        <w:tc>
          <w:tcPr>
            <w:tcW w:w="1928" w:type="dxa"/>
          </w:tcPr>
          <w:p w14:paraId="2E333927"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7E245D30"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5417FA57"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36EBB7D8"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31D12CA1" w14:textId="77777777" w:rsidTr="003D45F0">
        <w:trPr>
          <w:cantSplit/>
        </w:trPr>
        <w:tc>
          <w:tcPr>
            <w:tcW w:w="567" w:type="dxa"/>
          </w:tcPr>
          <w:p w14:paraId="5CB669E2"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30</w:t>
            </w:r>
          </w:p>
        </w:tc>
        <w:tc>
          <w:tcPr>
            <w:tcW w:w="6520" w:type="dxa"/>
          </w:tcPr>
          <w:p w14:paraId="5D08DD50" w14:textId="77777777" w:rsidR="001F38CC" w:rsidRPr="004943B2" w:rsidRDefault="001F38CC" w:rsidP="001F38CC">
            <w:pPr>
              <w:spacing w:before="40" w:after="40"/>
              <w:rPr>
                <w:rFonts w:asciiTheme="minorHAnsi" w:hAnsiTheme="minorHAnsi"/>
              </w:rPr>
            </w:pPr>
            <w:r w:rsidRPr="004943B2">
              <w:rPr>
                <w:rFonts w:asciiTheme="minorHAnsi" w:hAnsiTheme="minorHAnsi"/>
              </w:rPr>
              <w:t xml:space="preserve">Details of any </w:t>
            </w:r>
            <w:proofErr w:type="gramStart"/>
            <w:r w:rsidRPr="004943B2">
              <w:rPr>
                <w:rFonts w:asciiTheme="minorHAnsi" w:hAnsiTheme="minorHAnsi"/>
              </w:rPr>
              <w:t>works</w:t>
            </w:r>
            <w:proofErr w:type="gramEnd"/>
            <w:r w:rsidRPr="004943B2">
              <w:rPr>
                <w:rFonts w:asciiTheme="minorHAnsi" w:hAnsiTheme="minorHAnsi"/>
              </w:rPr>
              <w:t xml:space="preserve"> affecting the </w:t>
            </w:r>
            <w:r w:rsidRPr="004943B2">
              <w:rPr>
                <w:rFonts w:asciiTheme="minorHAnsi" w:hAnsiTheme="minorHAnsi"/>
                <w:b/>
                <w:bCs/>
              </w:rPr>
              <w:t>natural surface level</w:t>
            </w:r>
            <w:r w:rsidRPr="004943B2">
              <w:rPr>
                <w:rFonts w:asciiTheme="minorHAnsi" w:hAnsiTheme="minorHAnsi"/>
              </w:rPr>
              <w:t xml:space="preserve"> of the land in the lot, or of abutting land, are disclosed.</w:t>
            </w:r>
          </w:p>
        </w:tc>
        <w:tc>
          <w:tcPr>
            <w:tcW w:w="850" w:type="dxa"/>
          </w:tcPr>
          <w:p w14:paraId="381F3A94"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E20</w:t>
            </w:r>
          </w:p>
        </w:tc>
        <w:tc>
          <w:tcPr>
            <w:tcW w:w="1928" w:type="dxa"/>
          </w:tcPr>
          <w:p w14:paraId="2117048D"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0B166553"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7539DB4B"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479ECAA6"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694B7B6B" w14:textId="77777777" w:rsidTr="003D45F0">
        <w:trPr>
          <w:cantSplit/>
        </w:trPr>
        <w:tc>
          <w:tcPr>
            <w:tcW w:w="567" w:type="dxa"/>
          </w:tcPr>
          <w:p w14:paraId="40A9ECA9"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31</w:t>
            </w:r>
          </w:p>
        </w:tc>
        <w:tc>
          <w:tcPr>
            <w:tcW w:w="6520" w:type="dxa"/>
          </w:tcPr>
          <w:p w14:paraId="51E8F6DF" w14:textId="035844D2" w:rsidR="001F38CC" w:rsidRPr="004943B2" w:rsidRDefault="001F38CC" w:rsidP="001F38CC">
            <w:pPr>
              <w:spacing w:before="40" w:after="40"/>
              <w:rPr>
                <w:rFonts w:asciiTheme="minorHAnsi" w:hAnsiTheme="minorHAnsi"/>
              </w:rPr>
            </w:pPr>
            <w:r w:rsidRPr="004943B2">
              <w:rPr>
                <w:rFonts w:asciiTheme="minorHAnsi" w:hAnsiTheme="minorHAnsi"/>
              </w:rPr>
              <w:t xml:space="preserve">Where the sale is subject to </w:t>
            </w:r>
            <w:r w:rsidRPr="004943B2">
              <w:rPr>
                <w:rFonts w:asciiTheme="minorHAnsi" w:hAnsiTheme="minorHAnsi"/>
                <w:b/>
                <w:bCs/>
              </w:rPr>
              <w:t>completion of a building</w:t>
            </w:r>
            <w:r w:rsidRPr="004943B2">
              <w:rPr>
                <w:rFonts w:asciiTheme="minorHAnsi" w:hAnsiTheme="minorHAnsi"/>
              </w:rPr>
              <w:t xml:space="preserve">, the vendor has provided details and copies of all relevant building documents, blueprints and specifications, the special conditions deal sufficiently with the construction elements, and for convenience those building documents have been annexed to </w:t>
            </w:r>
            <w:proofErr w:type="gramStart"/>
            <w:r w:rsidRPr="004943B2">
              <w:rPr>
                <w:rFonts w:asciiTheme="minorHAnsi" w:hAnsiTheme="minorHAnsi"/>
              </w:rPr>
              <w:t>the section</w:t>
            </w:r>
            <w:proofErr w:type="gramEnd"/>
            <w:r w:rsidRPr="004943B2">
              <w:rPr>
                <w:rFonts w:asciiTheme="minorHAnsi" w:hAnsiTheme="minorHAnsi"/>
              </w:rPr>
              <w:t xml:space="preserve"> 32 statement.</w:t>
            </w:r>
          </w:p>
        </w:tc>
        <w:tc>
          <w:tcPr>
            <w:tcW w:w="850" w:type="dxa"/>
          </w:tcPr>
          <w:p w14:paraId="71539CEE"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E20</w:t>
            </w:r>
          </w:p>
        </w:tc>
        <w:tc>
          <w:tcPr>
            <w:tcW w:w="1928" w:type="dxa"/>
          </w:tcPr>
          <w:p w14:paraId="2FB84116"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4AA5AEC0"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512DD9B6"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6705EC6A"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58DE5A2F" w14:textId="77777777" w:rsidTr="003D45F0">
        <w:trPr>
          <w:cantSplit/>
        </w:trPr>
        <w:tc>
          <w:tcPr>
            <w:tcW w:w="567" w:type="dxa"/>
          </w:tcPr>
          <w:p w14:paraId="0FCA9AB4"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32</w:t>
            </w:r>
          </w:p>
        </w:tc>
        <w:tc>
          <w:tcPr>
            <w:tcW w:w="6520" w:type="dxa"/>
          </w:tcPr>
          <w:p w14:paraId="6A9DB545" w14:textId="7F6622C8" w:rsidR="001F38CC" w:rsidRPr="004943B2" w:rsidRDefault="001F38CC" w:rsidP="001F38CC">
            <w:pPr>
              <w:spacing w:before="40" w:after="40"/>
              <w:rPr>
                <w:rFonts w:asciiTheme="minorHAnsi" w:hAnsiTheme="minorHAnsi"/>
                <w:lang w:val="en-AU"/>
              </w:rPr>
            </w:pPr>
            <w:r w:rsidRPr="004943B2">
              <w:rPr>
                <w:rFonts w:asciiTheme="minorHAnsi" w:hAnsiTheme="minorHAnsi"/>
              </w:rPr>
              <w:t xml:space="preserve">The </w:t>
            </w:r>
            <w:r w:rsidRPr="004943B2">
              <w:rPr>
                <w:rFonts w:asciiTheme="minorHAnsi" w:hAnsiTheme="minorHAnsi"/>
                <w:b/>
                <w:bCs/>
              </w:rPr>
              <w:t>sunset date</w:t>
            </w:r>
            <w:r w:rsidRPr="004943B2">
              <w:rPr>
                <w:rFonts w:asciiTheme="minorHAnsi" w:hAnsiTheme="minorHAnsi"/>
              </w:rPr>
              <w:t xml:space="preserve"> for registration of the plan of subdivision is correct.</w:t>
            </w:r>
          </w:p>
        </w:tc>
        <w:tc>
          <w:tcPr>
            <w:tcW w:w="850" w:type="dxa"/>
          </w:tcPr>
          <w:p w14:paraId="3F3FF5A7"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E21</w:t>
            </w:r>
          </w:p>
        </w:tc>
        <w:tc>
          <w:tcPr>
            <w:tcW w:w="1928" w:type="dxa"/>
          </w:tcPr>
          <w:p w14:paraId="13BFDC7D"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427A7290"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6E89DF44"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3A47358E"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752E93F4" w14:textId="77777777" w:rsidTr="003D45F0">
        <w:trPr>
          <w:cantSplit/>
        </w:trPr>
        <w:tc>
          <w:tcPr>
            <w:tcW w:w="567" w:type="dxa"/>
          </w:tcPr>
          <w:p w14:paraId="65368F7E"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33</w:t>
            </w:r>
          </w:p>
        </w:tc>
        <w:tc>
          <w:tcPr>
            <w:tcW w:w="6520" w:type="dxa"/>
          </w:tcPr>
          <w:p w14:paraId="792BCD7B" w14:textId="16CB3265" w:rsidR="001F38CC" w:rsidRPr="004943B2" w:rsidRDefault="001F38CC" w:rsidP="001F38CC">
            <w:pPr>
              <w:spacing w:before="40" w:after="40"/>
              <w:rPr>
                <w:rFonts w:asciiTheme="minorHAnsi" w:hAnsiTheme="minorHAnsi"/>
              </w:rPr>
            </w:pPr>
            <w:r w:rsidRPr="004943B2">
              <w:rPr>
                <w:rFonts w:asciiTheme="minorHAnsi" w:hAnsiTheme="minorHAnsi"/>
              </w:rPr>
              <w:t xml:space="preserve">For a residential </w:t>
            </w:r>
            <w:proofErr w:type="gramStart"/>
            <w:r w:rsidRPr="004943B2">
              <w:rPr>
                <w:rFonts w:asciiTheme="minorHAnsi" w:hAnsiTheme="minorHAnsi"/>
              </w:rPr>
              <w:t>off the plan</w:t>
            </w:r>
            <w:proofErr w:type="gramEnd"/>
            <w:r w:rsidRPr="004943B2">
              <w:rPr>
                <w:rFonts w:asciiTheme="minorHAnsi" w:hAnsiTheme="minorHAnsi"/>
              </w:rPr>
              <w:t xml:space="preserve"> contract as defined under </w:t>
            </w:r>
            <w:r w:rsidRPr="004943B2">
              <w:rPr>
                <w:rFonts w:asciiTheme="minorHAnsi" w:hAnsiTheme="minorHAnsi"/>
                <w:b/>
                <w:bCs/>
              </w:rPr>
              <w:t>section 10A</w:t>
            </w:r>
            <w:r w:rsidR="0064758C" w:rsidRPr="004943B2">
              <w:rPr>
                <w:rFonts w:asciiTheme="minorHAnsi" w:hAnsiTheme="minorHAnsi"/>
                <w:b/>
                <w:bCs/>
              </w:rPr>
              <w:t xml:space="preserve"> of the Sale of Land Act</w:t>
            </w:r>
            <w:r w:rsidRPr="004943B2">
              <w:rPr>
                <w:rFonts w:asciiTheme="minorHAnsi" w:hAnsiTheme="minorHAnsi"/>
              </w:rPr>
              <w:t>, the sunset clause complies with sections 10A, 10B, 10E and 10F of the Sale of Land Act.</w:t>
            </w:r>
          </w:p>
        </w:tc>
        <w:tc>
          <w:tcPr>
            <w:tcW w:w="850" w:type="dxa"/>
          </w:tcPr>
          <w:p w14:paraId="2076D96D"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E21</w:t>
            </w:r>
          </w:p>
        </w:tc>
        <w:tc>
          <w:tcPr>
            <w:tcW w:w="1928" w:type="dxa"/>
          </w:tcPr>
          <w:p w14:paraId="0A7FFA40"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6AB01FF2"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01C677AF"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35EA3636"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28B1B06D" w14:textId="77777777" w:rsidTr="003D45F0">
        <w:trPr>
          <w:cantSplit/>
        </w:trPr>
        <w:tc>
          <w:tcPr>
            <w:tcW w:w="567" w:type="dxa"/>
          </w:tcPr>
          <w:p w14:paraId="16EEDC6C"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34</w:t>
            </w:r>
          </w:p>
        </w:tc>
        <w:tc>
          <w:tcPr>
            <w:tcW w:w="6520" w:type="dxa"/>
          </w:tcPr>
          <w:p w14:paraId="648ADA8C" w14:textId="3328B6CA" w:rsidR="001F38CC" w:rsidRPr="004943B2" w:rsidRDefault="001F38CC" w:rsidP="001F38CC">
            <w:pPr>
              <w:spacing w:before="40" w:after="40"/>
              <w:rPr>
                <w:rFonts w:asciiTheme="minorHAnsi" w:hAnsiTheme="minorHAnsi"/>
              </w:rPr>
            </w:pPr>
            <w:r w:rsidRPr="004943B2">
              <w:rPr>
                <w:rFonts w:asciiTheme="minorHAnsi" w:hAnsiTheme="minorHAnsi"/>
              </w:rPr>
              <w:t xml:space="preserve">Any </w:t>
            </w:r>
            <w:r w:rsidRPr="004943B2">
              <w:rPr>
                <w:rFonts w:asciiTheme="minorHAnsi" w:hAnsiTheme="minorHAnsi"/>
                <w:b/>
                <w:bCs/>
              </w:rPr>
              <w:t>restriction</w:t>
            </w:r>
            <w:r w:rsidRPr="004943B2">
              <w:rPr>
                <w:rFonts w:asciiTheme="minorHAnsi" w:hAnsiTheme="minorHAnsi"/>
              </w:rPr>
              <w:t xml:space="preserve"> that will be contained in the plan once registered, or any restrictive covenant to be registered in a transfer of land instrument, is disclosed, and copies of the terms and conditions of the restriction or restrictive covenant are annexed to the section 32 statement.</w:t>
            </w:r>
          </w:p>
        </w:tc>
        <w:tc>
          <w:tcPr>
            <w:tcW w:w="850" w:type="dxa"/>
          </w:tcPr>
          <w:p w14:paraId="3DEF195B"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E20</w:t>
            </w:r>
          </w:p>
        </w:tc>
        <w:tc>
          <w:tcPr>
            <w:tcW w:w="1928" w:type="dxa"/>
          </w:tcPr>
          <w:p w14:paraId="18AC9280"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2F7CF531"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67D73795"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467C46B7"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r w:rsidR="001F38CC" w:rsidRPr="004943B2" w14:paraId="385C28F1" w14:textId="77777777" w:rsidTr="003D45F0">
        <w:trPr>
          <w:cantSplit/>
        </w:trPr>
        <w:tc>
          <w:tcPr>
            <w:tcW w:w="9865" w:type="dxa"/>
            <w:gridSpan w:val="4"/>
            <w:shd w:val="clear" w:color="auto" w:fill="EDE3D2"/>
          </w:tcPr>
          <w:p w14:paraId="43CA0630" w14:textId="77777777" w:rsidR="001F38CC" w:rsidRPr="004943B2" w:rsidRDefault="001F38CC" w:rsidP="001F38CC">
            <w:pPr>
              <w:spacing w:before="40" w:after="40"/>
              <w:rPr>
                <w:rFonts w:asciiTheme="minorHAnsi" w:hAnsiTheme="minorHAnsi"/>
              </w:rPr>
            </w:pPr>
            <w:r w:rsidRPr="004943B2">
              <w:rPr>
                <w:rFonts w:asciiTheme="minorHAnsi" w:hAnsiTheme="minorHAnsi"/>
                <w:b/>
                <w:i/>
                <w:sz w:val="18"/>
              </w:rPr>
              <w:t>End of off the plan block</w:t>
            </w:r>
          </w:p>
        </w:tc>
      </w:tr>
      <w:tr w:rsidR="001F38CC" w:rsidRPr="004943B2" w14:paraId="73F20226" w14:textId="77777777" w:rsidTr="003D45F0">
        <w:trPr>
          <w:cantSplit/>
        </w:trPr>
        <w:tc>
          <w:tcPr>
            <w:tcW w:w="567" w:type="dxa"/>
          </w:tcPr>
          <w:p w14:paraId="429B86A8" w14:textId="77777777" w:rsidR="001F38CC" w:rsidRPr="004943B2" w:rsidRDefault="001F38CC" w:rsidP="001F38CC">
            <w:pPr>
              <w:spacing w:before="40" w:after="40"/>
              <w:rPr>
                <w:rFonts w:asciiTheme="minorHAnsi" w:hAnsiTheme="minorHAnsi"/>
              </w:rPr>
            </w:pPr>
            <w:r w:rsidRPr="004943B2">
              <w:rPr>
                <w:rFonts w:asciiTheme="minorHAnsi" w:hAnsiTheme="minorHAnsi"/>
                <w:b/>
                <w:sz w:val="18"/>
              </w:rPr>
              <w:t>35</w:t>
            </w:r>
          </w:p>
        </w:tc>
        <w:tc>
          <w:tcPr>
            <w:tcW w:w="6520" w:type="dxa"/>
          </w:tcPr>
          <w:p w14:paraId="6389C474" w14:textId="74A94A2E" w:rsidR="001F38CC" w:rsidRPr="004943B2" w:rsidRDefault="001F38CC" w:rsidP="001F38CC">
            <w:pPr>
              <w:spacing w:before="40" w:after="40"/>
              <w:rPr>
                <w:rFonts w:asciiTheme="minorHAnsi" w:hAnsiTheme="minorHAnsi"/>
              </w:rPr>
            </w:pPr>
            <w:r w:rsidRPr="004943B2">
              <w:rPr>
                <w:rFonts w:asciiTheme="minorHAnsi" w:hAnsiTheme="minorHAnsi"/>
              </w:rPr>
              <w:t xml:space="preserve">The </w:t>
            </w:r>
            <w:r w:rsidRPr="004943B2">
              <w:rPr>
                <w:rFonts w:asciiTheme="minorHAnsi" w:hAnsiTheme="minorHAnsi"/>
                <w:b/>
                <w:bCs/>
              </w:rPr>
              <w:t>due diligence checklist</w:t>
            </w:r>
            <w:r w:rsidRPr="004943B2">
              <w:rPr>
                <w:rFonts w:asciiTheme="minorHAnsi" w:hAnsiTheme="minorHAnsi"/>
              </w:rPr>
              <w:t xml:space="preserve"> is attached to </w:t>
            </w:r>
            <w:proofErr w:type="gramStart"/>
            <w:r w:rsidRPr="004943B2">
              <w:rPr>
                <w:rFonts w:asciiTheme="minorHAnsi" w:hAnsiTheme="minorHAnsi"/>
              </w:rPr>
              <w:t>the section</w:t>
            </w:r>
            <w:proofErr w:type="gramEnd"/>
            <w:r w:rsidRPr="004943B2">
              <w:rPr>
                <w:rFonts w:asciiTheme="minorHAnsi" w:hAnsiTheme="minorHAnsi"/>
              </w:rPr>
              <w:t xml:space="preserve"> 32 statement.</w:t>
            </w:r>
          </w:p>
        </w:tc>
        <w:tc>
          <w:tcPr>
            <w:tcW w:w="850" w:type="dxa"/>
          </w:tcPr>
          <w:p w14:paraId="374285C9" w14:textId="77777777" w:rsidR="001F38CC" w:rsidRPr="004943B2" w:rsidRDefault="001F38CC" w:rsidP="001F38CC">
            <w:pPr>
              <w:spacing w:before="40" w:after="40"/>
              <w:rPr>
                <w:rFonts w:asciiTheme="minorHAnsi" w:hAnsiTheme="minorHAnsi"/>
              </w:rPr>
            </w:pPr>
            <w:r w:rsidRPr="004943B2">
              <w:rPr>
                <w:rFonts w:asciiTheme="minorHAnsi" w:hAnsiTheme="minorHAnsi"/>
                <w:sz w:val="17"/>
              </w:rPr>
              <w:t>E22</w:t>
            </w:r>
          </w:p>
        </w:tc>
        <w:tc>
          <w:tcPr>
            <w:tcW w:w="1928" w:type="dxa"/>
          </w:tcPr>
          <w:p w14:paraId="0E133C3A"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12FA2622"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2195AE82" w14:textId="77777777" w:rsidR="001F38CC" w:rsidRPr="004943B2" w:rsidRDefault="001F38CC" w:rsidP="001F38CC">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065487FF" w14:textId="77777777" w:rsidR="001F38CC" w:rsidRPr="004943B2" w:rsidRDefault="001F38CC" w:rsidP="001F38CC">
            <w:pPr>
              <w:spacing w:after="0"/>
              <w:rPr>
                <w:rFonts w:asciiTheme="minorHAnsi" w:hAnsiTheme="minorHAnsi"/>
              </w:rPr>
            </w:pPr>
            <w:r w:rsidRPr="004943B2">
              <w:rPr>
                <w:rFonts w:asciiTheme="minorHAnsi" w:hAnsiTheme="minorHAnsi"/>
                <w:sz w:val="16"/>
              </w:rPr>
              <w:t>……………………</w:t>
            </w:r>
          </w:p>
        </w:tc>
      </w:tr>
    </w:tbl>
    <w:p w14:paraId="264954B5" w14:textId="77777777" w:rsidR="00B84943" w:rsidRPr="004943B2" w:rsidRDefault="00B84943" w:rsidP="00B84943">
      <w:pPr>
        <w:rPr>
          <w:rFonts w:asciiTheme="minorHAnsi" w:hAnsiTheme="minorHAnsi"/>
        </w:rPr>
      </w:pPr>
      <w:r w:rsidRPr="004943B2">
        <w:rPr>
          <w:rFonts w:asciiTheme="minorHAnsi" w:hAnsiTheme="minorHAnsi"/>
        </w:rPr>
        <w:br w:type="page"/>
      </w:r>
    </w:p>
    <w:p w14:paraId="422B3073" w14:textId="20CEFB7F" w:rsidR="00B84943" w:rsidRPr="004943B2" w:rsidRDefault="00E01F2E" w:rsidP="1A3134AD">
      <w:pPr>
        <w:spacing w:after="100"/>
        <w:rPr>
          <w:rFonts w:asciiTheme="minorHAnsi" w:hAnsiTheme="minorHAnsi"/>
          <w:lang w:val="en-AU"/>
        </w:rPr>
      </w:pPr>
      <w:r w:rsidRPr="004943B2">
        <w:rPr>
          <w:rFonts w:asciiTheme="minorHAnsi" w:hAnsiTheme="minorHAnsi"/>
          <w:b/>
          <w:bCs/>
          <w:color w:val="1F3364"/>
          <w:sz w:val="26"/>
          <w:szCs w:val="26"/>
        </w:rPr>
        <w:lastRenderedPageBreak/>
        <w:t xml:space="preserve">Part </w:t>
      </w:r>
      <w:proofErr w:type="gramStart"/>
      <w:r w:rsidRPr="004943B2">
        <w:rPr>
          <w:rFonts w:asciiTheme="minorHAnsi" w:hAnsiTheme="minorHAnsi"/>
          <w:b/>
          <w:bCs/>
          <w:color w:val="1F3364"/>
          <w:sz w:val="26"/>
          <w:szCs w:val="26"/>
        </w:rPr>
        <w:t>2  Certificates</w:t>
      </w:r>
      <w:proofErr w:type="gramEnd"/>
      <w:r w:rsidRPr="004943B2">
        <w:rPr>
          <w:rFonts w:asciiTheme="minorHAnsi" w:hAnsiTheme="minorHAnsi"/>
          <w:b/>
          <w:bCs/>
          <w:color w:val="1F3364"/>
          <w:sz w:val="26"/>
          <w:szCs w:val="26"/>
        </w:rPr>
        <w:t xml:space="preserve"> and documents for attaching to </w:t>
      </w:r>
      <w:proofErr w:type="gramStart"/>
      <w:r w:rsidRPr="004943B2">
        <w:rPr>
          <w:rFonts w:asciiTheme="minorHAnsi" w:hAnsiTheme="minorHAnsi"/>
          <w:b/>
          <w:bCs/>
          <w:color w:val="1F3364"/>
          <w:sz w:val="26"/>
          <w:szCs w:val="26"/>
        </w:rPr>
        <w:t>the section</w:t>
      </w:r>
      <w:proofErr w:type="gramEnd"/>
      <w:r w:rsidRPr="004943B2">
        <w:rPr>
          <w:rFonts w:asciiTheme="minorHAnsi" w:hAnsiTheme="minorHAnsi"/>
          <w:b/>
          <w:bCs/>
          <w:color w:val="1F3364"/>
          <w:sz w:val="26"/>
          <w:szCs w:val="26"/>
        </w:rPr>
        <w:t xml:space="preserve"> 32 statement</w:t>
      </w:r>
    </w:p>
    <w:tbl>
      <w:tblPr>
        <w:tblStyle w:val="TableGrid"/>
        <w:tblW w:w="10092" w:type="dxa"/>
        <w:tblLayout w:type="fixed"/>
        <w:tblLook w:val="04A0" w:firstRow="1" w:lastRow="0" w:firstColumn="1" w:lastColumn="0" w:noHBand="0" w:noVBand="1"/>
      </w:tblPr>
      <w:tblGrid>
        <w:gridCol w:w="4169"/>
        <w:gridCol w:w="2769"/>
        <w:gridCol w:w="1134"/>
        <w:gridCol w:w="1120"/>
        <w:gridCol w:w="900"/>
      </w:tblGrid>
      <w:tr w:rsidR="00B84943" w:rsidRPr="004943B2" w14:paraId="2730368F" w14:textId="77777777" w:rsidTr="00D74CF3">
        <w:trPr>
          <w:cnfStyle w:val="100000000000" w:firstRow="1" w:lastRow="0" w:firstColumn="0" w:lastColumn="0" w:oddVBand="0" w:evenVBand="0" w:oddHBand="0" w:evenHBand="0" w:firstRowFirstColumn="0" w:firstRowLastColumn="0" w:lastRowFirstColumn="0" w:lastRowLastColumn="0"/>
          <w:cantSplit/>
          <w:tblHeader/>
        </w:trPr>
        <w:tc>
          <w:tcPr>
            <w:tcW w:w="4169" w:type="dxa"/>
            <w:shd w:val="clear" w:color="auto" w:fill="E4E8F0"/>
          </w:tcPr>
          <w:p w14:paraId="0DEE7895" w14:textId="77777777" w:rsidR="00B84943" w:rsidRPr="004943B2" w:rsidRDefault="00B84943" w:rsidP="00CF1612">
            <w:pPr>
              <w:spacing w:before="40" w:after="40"/>
              <w:rPr>
                <w:rFonts w:asciiTheme="minorHAnsi" w:hAnsiTheme="minorHAnsi"/>
              </w:rPr>
            </w:pPr>
            <w:r w:rsidRPr="004943B2">
              <w:rPr>
                <w:rFonts w:asciiTheme="minorHAnsi" w:hAnsiTheme="minorHAnsi"/>
                <w:b/>
                <w:color w:val="1F3364"/>
                <w:sz w:val="17"/>
              </w:rPr>
              <w:t>Certificate or document</w:t>
            </w:r>
          </w:p>
        </w:tc>
        <w:tc>
          <w:tcPr>
            <w:tcW w:w="2769" w:type="dxa"/>
            <w:shd w:val="clear" w:color="auto" w:fill="E4E8F0"/>
          </w:tcPr>
          <w:p w14:paraId="1094A694" w14:textId="75C60B4F" w:rsidR="00B84943" w:rsidRPr="004943B2" w:rsidRDefault="00B84943" w:rsidP="00CF1612">
            <w:pPr>
              <w:spacing w:before="40" w:after="40"/>
              <w:rPr>
                <w:rFonts w:asciiTheme="minorHAnsi" w:hAnsiTheme="minorHAnsi"/>
              </w:rPr>
            </w:pPr>
            <w:r w:rsidRPr="004943B2">
              <w:rPr>
                <w:rFonts w:asciiTheme="minorHAnsi" w:hAnsiTheme="minorHAnsi"/>
                <w:b/>
                <w:bCs/>
                <w:color w:val="1F3364"/>
                <w:sz w:val="17"/>
                <w:szCs w:val="17"/>
              </w:rPr>
              <w:t>Ordered/</w:t>
            </w:r>
            <w:r w:rsidR="28B24ABB" w:rsidRPr="004943B2">
              <w:rPr>
                <w:rFonts w:asciiTheme="minorHAnsi" w:hAnsiTheme="minorHAnsi"/>
                <w:b/>
                <w:bCs/>
                <w:color w:val="1F3364"/>
                <w:sz w:val="17"/>
                <w:szCs w:val="17"/>
              </w:rPr>
              <w:t xml:space="preserve"> </w:t>
            </w:r>
            <w:r w:rsidRPr="004943B2">
              <w:rPr>
                <w:rFonts w:asciiTheme="minorHAnsi" w:hAnsiTheme="minorHAnsi"/>
                <w:b/>
                <w:bCs/>
                <w:color w:val="1F3364"/>
                <w:sz w:val="17"/>
                <w:szCs w:val="17"/>
              </w:rPr>
              <w:t>requested</w:t>
            </w:r>
          </w:p>
        </w:tc>
        <w:tc>
          <w:tcPr>
            <w:tcW w:w="1134" w:type="dxa"/>
            <w:shd w:val="clear" w:color="auto" w:fill="E4E8F0"/>
          </w:tcPr>
          <w:p w14:paraId="31C722F4" w14:textId="77777777" w:rsidR="00B84943" w:rsidRPr="004943B2" w:rsidRDefault="00B84943" w:rsidP="00CF1612">
            <w:pPr>
              <w:spacing w:before="40" w:after="40"/>
              <w:rPr>
                <w:rFonts w:asciiTheme="minorHAnsi" w:hAnsiTheme="minorHAnsi"/>
              </w:rPr>
            </w:pPr>
            <w:r w:rsidRPr="004943B2">
              <w:rPr>
                <w:rFonts w:asciiTheme="minorHAnsi" w:hAnsiTheme="minorHAnsi"/>
                <w:b/>
                <w:color w:val="1F3364"/>
                <w:sz w:val="17"/>
              </w:rPr>
              <w:t>Received</w:t>
            </w:r>
          </w:p>
        </w:tc>
        <w:tc>
          <w:tcPr>
            <w:tcW w:w="1120" w:type="dxa"/>
            <w:shd w:val="clear" w:color="auto" w:fill="E4E8F0"/>
          </w:tcPr>
          <w:p w14:paraId="3F94C468" w14:textId="30E8DB7D" w:rsidR="00B84943" w:rsidRPr="004943B2" w:rsidRDefault="07944367" w:rsidP="00CF1612">
            <w:pPr>
              <w:spacing w:before="40" w:after="40"/>
              <w:rPr>
                <w:rFonts w:asciiTheme="minorHAnsi" w:hAnsiTheme="minorHAnsi"/>
                <w:b/>
                <w:color w:val="1F3364"/>
                <w:sz w:val="17"/>
                <w:szCs w:val="17"/>
              </w:rPr>
            </w:pPr>
            <w:r w:rsidRPr="004943B2">
              <w:rPr>
                <w:rFonts w:asciiTheme="minorHAnsi" w:hAnsiTheme="minorHAnsi"/>
                <w:b/>
                <w:bCs/>
                <w:color w:val="1F3364"/>
                <w:sz w:val="17"/>
                <w:szCs w:val="17"/>
              </w:rPr>
              <w:t>Reviewed</w:t>
            </w:r>
          </w:p>
        </w:tc>
        <w:tc>
          <w:tcPr>
            <w:tcW w:w="900" w:type="dxa"/>
            <w:shd w:val="clear" w:color="auto" w:fill="E4E8F0"/>
          </w:tcPr>
          <w:p w14:paraId="493F947C" w14:textId="77777777" w:rsidR="00B84943" w:rsidRPr="004943B2" w:rsidRDefault="00B84943" w:rsidP="00CF1612">
            <w:pPr>
              <w:spacing w:before="40" w:after="40"/>
              <w:rPr>
                <w:rFonts w:asciiTheme="minorHAnsi" w:hAnsiTheme="minorHAnsi"/>
              </w:rPr>
            </w:pPr>
            <w:r w:rsidRPr="004943B2">
              <w:rPr>
                <w:rFonts w:asciiTheme="minorHAnsi" w:hAnsiTheme="minorHAnsi"/>
                <w:b/>
                <w:color w:val="1F3364"/>
                <w:sz w:val="17"/>
              </w:rPr>
              <w:t>Annexed</w:t>
            </w:r>
          </w:p>
        </w:tc>
      </w:tr>
      <w:tr w:rsidR="00B84943" w:rsidRPr="004943B2" w14:paraId="12669822" w14:textId="77777777" w:rsidTr="00D74CF3">
        <w:trPr>
          <w:cantSplit/>
        </w:trPr>
        <w:tc>
          <w:tcPr>
            <w:tcW w:w="4169" w:type="dxa"/>
          </w:tcPr>
          <w:p w14:paraId="7FA9D9CC" w14:textId="289FD941" w:rsidR="00B84943" w:rsidRPr="004943B2" w:rsidRDefault="00B84943" w:rsidP="00CF1612">
            <w:pPr>
              <w:spacing w:before="40" w:after="40"/>
              <w:rPr>
                <w:rFonts w:asciiTheme="minorHAnsi" w:hAnsiTheme="minorHAnsi"/>
              </w:rPr>
            </w:pPr>
            <w:r w:rsidRPr="004943B2">
              <w:rPr>
                <w:rFonts w:asciiTheme="minorHAnsi" w:hAnsiTheme="minorHAnsi"/>
                <w:sz w:val="18"/>
                <w:szCs w:val="18"/>
              </w:rPr>
              <w:t>Register search statement and title diagram, for each title</w:t>
            </w:r>
            <w:r w:rsidR="005D3EA8">
              <w:rPr>
                <w:rFonts w:asciiTheme="minorHAnsi" w:hAnsiTheme="minorHAnsi"/>
                <w:sz w:val="18"/>
                <w:szCs w:val="18"/>
              </w:rPr>
              <w:t>/lot</w:t>
            </w:r>
          </w:p>
        </w:tc>
        <w:tc>
          <w:tcPr>
            <w:tcW w:w="2769" w:type="dxa"/>
          </w:tcPr>
          <w:p w14:paraId="32155CBF" w14:textId="77777777" w:rsidR="00B84943" w:rsidRPr="004943B2" w:rsidRDefault="00B84943" w:rsidP="00CF1612">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7893EC1E" w14:textId="77777777" w:rsidR="00B84943" w:rsidRPr="004943B2" w:rsidRDefault="00B84943" w:rsidP="00CF1612">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5DD627D8" w14:textId="77777777" w:rsidR="00B84943" w:rsidRPr="004943B2" w:rsidRDefault="00B84943" w:rsidP="00CF1612">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7BC36780" w14:textId="77777777" w:rsidR="00B84943" w:rsidRPr="004943B2" w:rsidRDefault="00B84943" w:rsidP="00CF1612">
            <w:pPr>
              <w:spacing w:before="40" w:after="40"/>
              <w:jc w:val="center"/>
              <w:rPr>
                <w:rFonts w:asciiTheme="minorHAnsi" w:hAnsiTheme="minorHAnsi"/>
              </w:rPr>
            </w:pPr>
            <w:r w:rsidRPr="004943B2">
              <w:rPr>
                <w:rFonts w:asciiTheme="minorHAnsi" w:hAnsiTheme="minorHAnsi" w:cs="Segoe UI Symbol"/>
                <w:sz w:val="20"/>
              </w:rPr>
              <w:t>☐</w:t>
            </w:r>
          </w:p>
        </w:tc>
      </w:tr>
      <w:tr w:rsidR="00B84943" w:rsidRPr="004943B2" w14:paraId="17570D65" w14:textId="77777777" w:rsidTr="00D74CF3">
        <w:trPr>
          <w:cantSplit/>
        </w:trPr>
        <w:tc>
          <w:tcPr>
            <w:tcW w:w="4169" w:type="dxa"/>
          </w:tcPr>
          <w:p w14:paraId="04E702EF" w14:textId="09A5294D" w:rsidR="00B84943" w:rsidRPr="004943B2" w:rsidRDefault="005D0BD9" w:rsidP="00CF1612">
            <w:pPr>
              <w:spacing w:before="40" w:after="40"/>
              <w:rPr>
                <w:rFonts w:asciiTheme="minorHAnsi" w:hAnsiTheme="minorHAnsi"/>
              </w:rPr>
            </w:pPr>
            <w:r w:rsidRPr="004943B2">
              <w:rPr>
                <w:rFonts w:asciiTheme="minorHAnsi" w:hAnsiTheme="minorHAnsi"/>
                <w:sz w:val="18"/>
                <w:szCs w:val="18"/>
              </w:rPr>
              <w:t xml:space="preserve">Image search of </w:t>
            </w:r>
            <w:r w:rsidR="00605715" w:rsidRPr="004943B2">
              <w:rPr>
                <w:rFonts w:asciiTheme="minorHAnsi" w:hAnsiTheme="minorHAnsi"/>
                <w:sz w:val="18"/>
                <w:szCs w:val="18"/>
              </w:rPr>
              <w:t>any applicable</w:t>
            </w:r>
            <w:r w:rsidRPr="004943B2">
              <w:rPr>
                <w:rFonts w:asciiTheme="minorHAnsi" w:hAnsiTheme="minorHAnsi"/>
                <w:sz w:val="18"/>
                <w:szCs w:val="18"/>
              </w:rPr>
              <w:t xml:space="preserve"> encumbrance, restriction, restrictive covenant, </w:t>
            </w:r>
            <w:r w:rsidR="008712F1" w:rsidRPr="004943B2">
              <w:rPr>
                <w:rFonts w:asciiTheme="minorHAnsi" w:hAnsiTheme="minorHAnsi"/>
                <w:sz w:val="18"/>
                <w:szCs w:val="18"/>
              </w:rPr>
              <w:t>easement co</w:t>
            </w:r>
            <w:r w:rsidR="00CB7EF8" w:rsidRPr="004943B2">
              <w:rPr>
                <w:rFonts w:asciiTheme="minorHAnsi" w:hAnsiTheme="minorHAnsi"/>
                <w:sz w:val="18"/>
                <w:szCs w:val="18"/>
              </w:rPr>
              <w:t>nditions</w:t>
            </w:r>
            <w:r w:rsidR="008712F1" w:rsidRPr="004943B2">
              <w:rPr>
                <w:rFonts w:asciiTheme="minorHAnsi" w:hAnsiTheme="minorHAnsi"/>
                <w:sz w:val="18"/>
                <w:szCs w:val="18"/>
              </w:rPr>
              <w:t xml:space="preserve">, </w:t>
            </w:r>
            <w:r w:rsidRPr="004943B2">
              <w:rPr>
                <w:rFonts w:asciiTheme="minorHAnsi" w:hAnsiTheme="minorHAnsi"/>
                <w:sz w:val="18"/>
                <w:szCs w:val="18"/>
              </w:rPr>
              <w:t xml:space="preserve">section 173 agreement, caveat, charge </w:t>
            </w:r>
            <w:r w:rsidR="00EC0159" w:rsidRPr="004943B2">
              <w:rPr>
                <w:rFonts w:asciiTheme="minorHAnsi" w:hAnsiTheme="minorHAnsi"/>
                <w:sz w:val="18"/>
                <w:szCs w:val="18"/>
              </w:rPr>
              <w:t>or</w:t>
            </w:r>
            <w:r w:rsidRPr="004943B2">
              <w:rPr>
                <w:rFonts w:asciiTheme="minorHAnsi" w:hAnsiTheme="minorHAnsi"/>
                <w:sz w:val="18"/>
                <w:szCs w:val="18"/>
              </w:rPr>
              <w:t xml:space="preserve"> notice shown on the title(s)</w:t>
            </w:r>
          </w:p>
        </w:tc>
        <w:tc>
          <w:tcPr>
            <w:tcW w:w="2769" w:type="dxa"/>
          </w:tcPr>
          <w:p w14:paraId="2D682F3E" w14:textId="77777777" w:rsidR="00B84943" w:rsidRPr="004943B2" w:rsidRDefault="00B84943" w:rsidP="00CF1612">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10E91BA4" w14:textId="77777777" w:rsidR="00B84943" w:rsidRPr="004943B2" w:rsidRDefault="00B84943" w:rsidP="00CF1612">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59D62C4E" w14:textId="77777777" w:rsidR="00B84943" w:rsidRPr="004943B2" w:rsidRDefault="00B84943" w:rsidP="00CF1612">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086EA25A" w14:textId="77777777" w:rsidR="00B84943" w:rsidRPr="004943B2" w:rsidRDefault="00B84943" w:rsidP="00CF1612">
            <w:pPr>
              <w:spacing w:before="40" w:after="40"/>
              <w:jc w:val="center"/>
              <w:rPr>
                <w:rFonts w:asciiTheme="minorHAnsi" w:hAnsiTheme="minorHAnsi"/>
              </w:rPr>
            </w:pPr>
            <w:r w:rsidRPr="004943B2">
              <w:rPr>
                <w:rFonts w:asciiTheme="minorHAnsi" w:hAnsiTheme="minorHAnsi" w:cs="Segoe UI Symbol"/>
                <w:sz w:val="20"/>
              </w:rPr>
              <w:t>☐</w:t>
            </w:r>
          </w:p>
        </w:tc>
      </w:tr>
      <w:tr w:rsidR="00D0556A" w:rsidRPr="004943B2" w14:paraId="19045675" w14:textId="77777777" w:rsidTr="00D74CF3">
        <w:trPr>
          <w:cantSplit/>
        </w:trPr>
        <w:tc>
          <w:tcPr>
            <w:tcW w:w="4169" w:type="dxa"/>
          </w:tcPr>
          <w:p w14:paraId="01A9A619" w14:textId="77777777" w:rsidR="00D0556A" w:rsidRPr="004943B2" w:rsidRDefault="00D0556A" w:rsidP="00D0556A">
            <w:pPr>
              <w:spacing w:before="40" w:after="40"/>
              <w:rPr>
                <w:rFonts w:asciiTheme="minorHAnsi" w:hAnsiTheme="minorHAnsi"/>
              </w:rPr>
            </w:pPr>
            <w:r w:rsidRPr="004943B2">
              <w:rPr>
                <w:rFonts w:asciiTheme="minorHAnsi" w:hAnsiTheme="minorHAnsi"/>
                <w:sz w:val="18"/>
              </w:rPr>
              <w:t>Land information certificate (council rates)</w:t>
            </w:r>
          </w:p>
        </w:tc>
        <w:tc>
          <w:tcPr>
            <w:tcW w:w="2769" w:type="dxa"/>
          </w:tcPr>
          <w:p w14:paraId="6455CEB8"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4AE8472E"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4BFF88F3"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2535B8EE"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r>
      <w:tr w:rsidR="00D0556A" w:rsidRPr="004943B2" w14:paraId="5479E37F" w14:textId="77777777" w:rsidTr="00D74CF3">
        <w:trPr>
          <w:cantSplit/>
        </w:trPr>
        <w:tc>
          <w:tcPr>
            <w:tcW w:w="4169" w:type="dxa"/>
          </w:tcPr>
          <w:p w14:paraId="567591BB" w14:textId="5839F1BA" w:rsidR="00D0556A" w:rsidRPr="004943B2" w:rsidRDefault="00D0556A" w:rsidP="00D0556A">
            <w:pPr>
              <w:spacing w:before="40" w:after="40"/>
              <w:rPr>
                <w:rFonts w:asciiTheme="minorHAnsi" w:hAnsiTheme="minorHAnsi"/>
                <w:sz w:val="18"/>
                <w:szCs w:val="18"/>
              </w:rPr>
            </w:pPr>
            <w:r w:rsidRPr="004943B2">
              <w:rPr>
                <w:rFonts w:asciiTheme="minorHAnsi" w:hAnsiTheme="minorHAnsi"/>
                <w:sz w:val="18"/>
                <w:szCs w:val="18"/>
              </w:rPr>
              <w:t>Water information statement and asset plan</w:t>
            </w:r>
          </w:p>
        </w:tc>
        <w:tc>
          <w:tcPr>
            <w:tcW w:w="2769" w:type="dxa"/>
          </w:tcPr>
          <w:p w14:paraId="77649ADB"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6995C149"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312505EE"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74615153"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r>
      <w:tr w:rsidR="00D0556A" w:rsidRPr="004943B2" w14:paraId="3F308B70" w14:textId="77777777" w:rsidTr="00D74CF3">
        <w:trPr>
          <w:cantSplit/>
        </w:trPr>
        <w:tc>
          <w:tcPr>
            <w:tcW w:w="4169" w:type="dxa"/>
          </w:tcPr>
          <w:p w14:paraId="78F4937E" w14:textId="7EEDBAF6" w:rsidR="00D0556A" w:rsidRPr="004943B2" w:rsidRDefault="00D0556A" w:rsidP="00D0556A">
            <w:pPr>
              <w:spacing w:before="40" w:after="40"/>
              <w:rPr>
                <w:rFonts w:asciiTheme="minorHAnsi" w:hAnsiTheme="minorHAnsi"/>
                <w:sz w:val="18"/>
                <w:szCs w:val="18"/>
              </w:rPr>
            </w:pPr>
            <w:r w:rsidRPr="004943B2">
              <w:rPr>
                <w:rFonts w:asciiTheme="minorHAnsi" w:hAnsiTheme="minorHAnsi"/>
                <w:sz w:val="18"/>
                <w:szCs w:val="18"/>
              </w:rPr>
              <w:t xml:space="preserve">Sewers and drains map (where no </w:t>
            </w:r>
            <w:r w:rsidR="003F0C96">
              <w:rPr>
                <w:rFonts w:asciiTheme="minorHAnsi" w:hAnsiTheme="minorHAnsi"/>
                <w:sz w:val="18"/>
                <w:szCs w:val="18"/>
              </w:rPr>
              <w:t>asset plan</w:t>
            </w:r>
            <w:r w:rsidRPr="004943B2">
              <w:rPr>
                <w:rFonts w:asciiTheme="minorHAnsi" w:hAnsiTheme="minorHAnsi"/>
                <w:sz w:val="18"/>
                <w:szCs w:val="18"/>
              </w:rPr>
              <w:t xml:space="preserve"> </w:t>
            </w:r>
            <w:proofErr w:type="gramStart"/>
            <w:r w:rsidRPr="004943B2">
              <w:rPr>
                <w:rFonts w:asciiTheme="minorHAnsi" w:hAnsiTheme="minorHAnsi"/>
                <w:sz w:val="18"/>
                <w:szCs w:val="18"/>
              </w:rPr>
              <w:t>is</w:t>
            </w:r>
            <w:proofErr w:type="gramEnd"/>
            <w:r w:rsidRPr="004943B2">
              <w:rPr>
                <w:rFonts w:asciiTheme="minorHAnsi" w:hAnsiTheme="minorHAnsi"/>
                <w:sz w:val="18"/>
                <w:szCs w:val="18"/>
              </w:rPr>
              <w:t xml:space="preserve"> provided in the water information certificate)</w:t>
            </w:r>
          </w:p>
        </w:tc>
        <w:tc>
          <w:tcPr>
            <w:tcW w:w="2769" w:type="dxa"/>
          </w:tcPr>
          <w:p w14:paraId="59CB3D49" w14:textId="101B93F4"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szCs w:val="20"/>
              </w:rPr>
              <w:t>☐</w:t>
            </w:r>
          </w:p>
        </w:tc>
        <w:tc>
          <w:tcPr>
            <w:tcW w:w="1134" w:type="dxa"/>
          </w:tcPr>
          <w:p w14:paraId="64FB04BD" w14:textId="0D07AD25"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szCs w:val="20"/>
              </w:rPr>
              <w:t>☐</w:t>
            </w:r>
          </w:p>
        </w:tc>
        <w:tc>
          <w:tcPr>
            <w:tcW w:w="1120" w:type="dxa"/>
          </w:tcPr>
          <w:p w14:paraId="0CF1C418" w14:textId="7A8A0C13"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szCs w:val="20"/>
              </w:rPr>
              <w:t>☐</w:t>
            </w:r>
          </w:p>
        </w:tc>
        <w:tc>
          <w:tcPr>
            <w:tcW w:w="900" w:type="dxa"/>
          </w:tcPr>
          <w:p w14:paraId="31FC82BE" w14:textId="1CFE387B"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szCs w:val="20"/>
              </w:rPr>
              <w:t>☐</w:t>
            </w:r>
          </w:p>
        </w:tc>
      </w:tr>
      <w:tr w:rsidR="00D0556A" w:rsidRPr="004943B2" w14:paraId="28E665B5" w14:textId="77777777" w:rsidTr="00D74CF3">
        <w:trPr>
          <w:cantSplit/>
        </w:trPr>
        <w:tc>
          <w:tcPr>
            <w:tcW w:w="4169" w:type="dxa"/>
          </w:tcPr>
          <w:p w14:paraId="63197333" w14:textId="77777777" w:rsidR="00D0556A" w:rsidRPr="004943B2" w:rsidRDefault="00D0556A" w:rsidP="00D0556A">
            <w:pPr>
              <w:spacing w:before="40" w:after="40"/>
              <w:rPr>
                <w:rFonts w:asciiTheme="minorHAnsi" w:hAnsiTheme="minorHAnsi"/>
              </w:rPr>
            </w:pPr>
            <w:r w:rsidRPr="004943B2">
              <w:rPr>
                <w:rFonts w:asciiTheme="minorHAnsi" w:hAnsiTheme="minorHAnsi"/>
                <w:sz w:val="18"/>
              </w:rPr>
              <w:t>SRO property clearance certificate</w:t>
            </w:r>
          </w:p>
        </w:tc>
        <w:tc>
          <w:tcPr>
            <w:tcW w:w="2769" w:type="dxa"/>
          </w:tcPr>
          <w:p w14:paraId="6265533A"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6436C0E5"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2392EF74"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56F8FBF2"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r>
      <w:tr w:rsidR="00D0556A" w:rsidRPr="004943B2" w14:paraId="14173AB0" w14:textId="77777777" w:rsidTr="00D74CF3">
        <w:trPr>
          <w:cantSplit/>
        </w:trPr>
        <w:tc>
          <w:tcPr>
            <w:tcW w:w="4169" w:type="dxa"/>
          </w:tcPr>
          <w:p w14:paraId="7E73136E" w14:textId="317A121E" w:rsidR="00D0556A" w:rsidRPr="004943B2" w:rsidRDefault="00D0556A" w:rsidP="00D0556A">
            <w:pPr>
              <w:spacing w:before="40" w:after="40"/>
              <w:rPr>
                <w:rFonts w:asciiTheme="minorHAnsi" w:hAnsiTheme="minorHAnsi"/>
                <w:sz w:val="18"/>
              </w:rPr>
            </w:pPr>
            <w:r w:rsidRPr="004943B2">
              <w:rPr>
                <w:rFonts w:asciiTheme="minorHAnsi" w:hAnsiTheme="minorHAnsi"/>
                <w:sz w:val="18"/>
                <w:szCs w:val="18"/>
              </w:rPr>
              <w:t>Client congestion levy notice, if the congestion levy applies</w:t>
            </w:r>
            <w:r w:rsidRPr="004943B2">
              <w:rPr>
                <w:rFonts w:asciiTheme="minorHAnsi" w:hAnsiTheme="minorHAnsi"/>
                <w:i/>
                <w:iCs/>
                <w:sz w:val="18"/>
                <w:szCs w:val="18"/>
              </w:rPr>
              <w:t xml:space="preserve">. It is </w:t>
            </w:r>
            <w:r w:rsidRPr="004943B2">
              <w:rPr>
                <w:rFonts w:asciiTheme="minorHAnsi" w:hAnsiTheme="minorHAnsi"/>
                <w:b/>
                <w:i/>
                <w:iCs/>
                <w:sz w:val="18"/>
                <w:szCs w:val="18"/>
                <w:u w:val="single"/>
              </w:rPr>
              <w:t>not</w:t>
            </w:r>
            <w:r w:rsidRPr="004943B2">
              <w:rPr>
                <w:rFonts w:asciiTheme="minorHAnsi" w:hAnsiTheme="minorHAnsi"/>
                <w:i/>
                <w:iCs/>
                <w:sz w:val="18"/>
                <w:szCs w:val="18"/>
              </w:rPr>
              <w:t xml:space="preserve"> disclosed in an SRO property clearance certificate.</w:t>
            </w:r>
          </w:p>
        </w:tc>
        <w:tc>
          <w:tcPr>
            <w:tcW w:w="2769" w:type="dxa"/>
          </w:tcPr>
          <w:p w14:paraId="1FBD6BA2" w14:textId="5886FC33"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c>
          <w:tcPr>
            <w:tcW w:w="1134" w:type="dxa"/>
          </w:tcPr>
          <w:p w14:paraId="40D6E551" w14:textId="4D8611B5"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c>
          <w:tcPr>
            <w:tcW w:w="1120" w:type="dxa"/>
          </w:tcPr>
          <w:p w14:paraId="0F282880" w14:textId="2B623D26"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c>
          <w:tcPr>
            <w:tcW w:w="900" w:type="dxa"/>
          </w:tcPr>
          <w:p w14:paraId="12A66256" w14:textId="72D09FF6"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r>
      <w:tr w:rsidR="00D0556A" w:rsidRPr="004943B2" w14:paraId="7D36B46A" w14:textId="77777777" w:rsidTr="00D74CF3">
        <w:trPr>
          <w:cantSplit/>
        </w:trPr>
        <w:tc>
          <w:tcPr>
            <w:tcW w:w="4169" w:type="dxa"/>
          </w:tcPr>
          <w:p w14:paraId="29D88EB9" w14:textId="090AD002" w:rsidR="00D0556A" w:rsidRPr="004943B2" w:rsidRDefault="00D0556A" w:rsidP="00D0556A">
            <w:pPr>
              <w:spacing w:before="40" w:after="40"/>
              <w:rPr>
                <w:rFonts w:asciiTheme="minorHAnsi" w:hAnsiTheme="minorHAnsi"/>
                <w:sz w:val="18"/>
                <w:szCs w:val="18"/>
              </w:rPr>
            </w:pPr>
            <w:r w:rsidRPr="004943B2">
              <w:rPr>
                <w:rFonts w:asciiTheme="minorHAnsi" w:hAnsiTheme="minorHAnsi"/>
                <w:sz w:val="18"/>
                <w:szCs w:val="18"/>
              </w:rPr>
              <w:t>Planning certificate</w:t>
            </w:r>
          </w:p>
        </w:tc>
        <w:tc>
          <w:tcPr>
            <w:tcW w:w="2769" w:type="dxa"/>
          </w:tcPr>
          <w:p w14:paraId="73E80AFF"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27FAD6E5"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5D12C537"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3424A766"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r>
      <w:tr w:rsidR="00D0556A" w:rsidRPr="004943B2" w14:paraId="7722ADD4" w14:textId="77777777" w:rsidTr="00D74CF3">
        <w:trPr>
          <w:cantSplit/>
        </w:trPr>
        <w:tc>
          <w:tcPr>
            <w:tcW w:w="4169" w:type="dxa"/>
          </w:tcPr>
          <w:p w14:paraId="36B447D6" w14:textId="77777777" w:rsidR="00D0556A" w:rsidRPr="004943B2" w:rsidRDefault="00D0556A" w:rsidP="00D0556A">
            <w:pPr>
              <w:spacing w:before="40" w:after="40"/>
              <w:rPr>
                <w:rFonts w:asciiTheme="minorHAnsi" w:hAnsiTheme="minorHAnsi"/>
              </w:rPr>
            </w:pPr>
            <w:r w:rsidRPr="004943B2">
              <w:rPr>
                <w:rFonts w:asciiTheme="minorHAnsi" w:hAnsiTheme="minorHAnsi"/>
                <w:sz w:val="18"/>
              </w:rPr>
              <w:t>Free property report</w:t>
            </w:r>
          </w:p>
        </w:tc>
        <w:tc>
          <w:tcPr>
            <w:tcW w:w="2769" w:type="dxa"/>
          </w:tcPr>
          <w:p w14:paraId="3D34A400"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278463E0"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1CF853FB"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7DBA8239"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r>
      <w:tr w:rsidR="00D0556A" w:rsidRPr="004943B2" w14:paraId="415294B5" w14:textId="77777777" w:rsidTr="00D74CF3">
        <w:trPr>
          <w:cantSplit/>
        </w:trPr>
        <w:tc>
          <w:tcPr>
            <w:tcW w:w="4169" w:type="dxa"/>
          </w:tcPr>
          <w:p w14:paraId="0873983A" w14:textId="77777777" w:rsidR="00D0556A" w:rsidRPr="004943B2" w:rsidRDefault="00D0556A" w:rsidP="00D0556A">
            <w:pPr>
              <w:spacing w:before="40" w:after="40"/>
              <w:rPr>
                <w:rFonts w:asciiTheme="minorHAnsi" w:hAnsiTheme="minorHAnsi"/>
              </w:rPr>
            </w:pPr>
            <w:r w:rsidRPr="004943B2">
              <w:rPr>
                <w:rFonts w:asciiTheme="minorHAnsi" w:hAnsiTheme="minorHAnsi"/>
                <w:sz w:val="18"/>
              </w:rPr>
              <w:t>Council building information certificate</w:t>
            </w:r>
          </w:p>
        </w:tc>
        <w:tc>
          <w:tcPr>
            <w:tcW w:w="2769" w:type="dxa"/>
          </w:tcPr>
          <w:p w14:paraId="55A3A670"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0234E777"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42A06C5D"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1F6A051B"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r>
      <w:tr w:rsidR="00D0556A" w:rsidRPr="004943B2" w14:paraId="21D3B87D" w14:textId="77777777" w:rsidTr="00D74CF3">
        <w:trPr>
          <w:cantSplit/>
        </w:trPr>
        <w:tc>
          <w:tcPr>
            <w:tcW w:w="4169" w:type="dxa"/>
          </w:tcPr>
          <w:p w14:paraId="181FAA90" w14:textId="77777777" w:rsidR="00D0556A" w:rsidRPr="004943B2" w:rsidRDefault="00D0556A" w:rsidP="00D0556A">
            <w:pPr>
              <w:spacing w:before="40" w:after="40"/>
              <w:rPr>
                <w:rFonts w:asciiTheme="minorHAnsi" w:hAnsiTheme="minorHAnsi"/>
              </w:rPr>
            </w:pPr>
            <w:r w:rsidRPr="004943B2">
              <w:rPr>
                <w:rFonts w:asciiTheme="minorHAnsi" w:hAnsiTheme="minorHAnsi"/>
                <w:sz w:val="18"/>
                <w:szCs w:val="18"/>
              </w:rPr>
              <w:t>Building permit, occupancy permit or certificate of final inspection</w:t>
            </w:r>
          </w:p>
        </w:tc>
        <w:tc>
          <w:tcPr>
            <w:tcW w:w="2769" w:type="dxa"/>
          </w:tcPr>
          <w:p w14:paraId="11DF22BE"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384490FD"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397B1C11"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42F09011"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r>
      <w:tr w:rsidR="00D0556A" w:rsidRPr="004943B2" w14:paraId="2529C431" w14:textId="77777777" w:rsidTr="00D74CF3">
        <w:trPr>
          <w:cantSplit/>
        </w:trPr>
        <w:tc>
          <w:tcPr>
            <w:tcW w:w="4169" w:type="dxa"/>
          </w:tcPr>
          <w:p w14:paraId="0A776AD1" w14:textId="51F2A1B2" w:rsidR="00D0556A" w:rsidRPr="004943B2" w:rsidRDefault="00D0556A" w:rsidP="00D0556A">
            <w:pPr>
              <w:spacing w:before="40" w:after="40"/>
              <w:rPr>
                <w:rFonts w:asciiTheme="minorHAnsi" w:hAnsiTheme="minorHAnsi"/>
                <w:sz w:val="18"/>
                <w:szCs w:val="18"/>
              </w:rPr>
            </w:pPr>
            <w:r w:rsidRPr="004943B2">
              <w:rPr>
                <w:rFonts w:asciiTheme="minorHAnsi" w:hAnsiTheme="minorHAnsi"/>
                <w:sz w:val="18"/>
                <w:szCs w:val="18"/>
              </w:rPr>
              <w:t xml:space="preserve">Any notices under section 32D of the Sale of Land Act, which can </w:t>
            </w:r>
            <w:proofErr w:type="gramStart"/>
            <w:r w:rsidRPr="004943B2">
              <w:rPr>
                <w:rFonts w:asciiTheme="minorHAnsi" w:hAnsiTheme="minorHAnsi"/>
                <w:sz w:val="18"/>
                <w:szCs w:val="18"/>
              </w:rPr>
              <w:t>include:</w:t>
            </w:r>
            <w:proofErr w:type="gramEnd"/>
            <w:r w:rsidRPr="004943B2">
              <w:rPr>
                <w:rFonts w:asciiTheme="minorHAnsi" w:hAnsiTheme="minorHAnsi"/>
                <w:sz w:val="18"/>
                <w:szCs w:val="18"/>
              </w:rPr>
              <w:t xml:space="preserve"> planning permits, proposed amendments to the planning scheme that applies to the land, council building notices, EPA notices, compulsory land acquisition or court orders that apply to the land</w:t>
            </w:r>
          </w:p>
        </w:tc>
        <w:tc>
          <w:tcPr>
            <w:tcW w:w="2769" w:type="dxa"/>
          </w:tcPr>
          <w:p w14:paraId="22497DBD" w14:textId="2D615C70"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c>
          <w:tcPr>
            <w:tcW w:w="1134" w:type="dxa"/>
          </w:tcPr>
          <w:p w14:paraId="78697CC5" w14:textId="0B23F02F"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c>
          <w:tcPr>
            <w:tcW w:w="1120" w:type="dxa"/>
          </w:tcPr>
          <w:p w14:paraId="01E48BDA" w14:textId="7CC1F717"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c>
          <w:tcPr>
            <w:tcW w:w="900" w:type="dxa"/>
          </w:tcPr>
          <w:p w14:paraId="37D5EE75" w14:textId="38311A27"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r>
      <w:tr w:rsidR="00D0556A" w:rsidRPr="004943B2" w14:paraId="7FA4B289" w14:textId="77777777" w:rsidTr="00D74CF3">
        <w:trPr>
          <w:cantSplit/>
        </w:trPr>
        <w:tc>
          <w:tcPr>
            <w:tcW w:w="4169" w:type="dxa"/>
          </w:tcPr>
          <w:p w14:paraId="5C3EDD7B" w14:textId="33167E1D" w:rsidR="00D0556A" w:rsidRPr="004943B2" w:rsidRDefault="00D0556A" w:rsidP="00D0556A">
            <w:pPr>
              <w:spacing w:before="40" w:after="40"/>
              <w:rPr>
                <w:rFonts w:asciiTheme="minorHAnsi" w:hAnsiTheme="minorHAnsi"/>
                <w:sz w:val="18"/>
                <w:szCs w:val="18"/>
              </w:rPr>
            </w:pPr>
            <w:r w:rsidRPr="004943B2">
              <w:rPr>
                <w:rFonts w:asciiTheme="minorHAnsi" w:hAnsiTheme="minorHAnsi"/>
                <w:sz w:val="18"/>
                <w:szCs w:val="18"/>
              </w:rPr>
              <w:t>GAIC certificate (only if GAIC applies to the land)</w:t>
            </w:r>
          </w:p>
        </w:tc>
        <w:tc>
          <w:tcPr>
            <w:tcW w:w="2769" w:type="dxa"/>
          </w:tcPr>
          <w:p w14:paraId="72C39BC9" w14:textId="00F0EDBD"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c>
          <w:tcPr>
            <w:tcW w:w="1134" w:type="dxa"/>
          </w:tcPr>
          <w:p w14:paraId="553C61A2" w14:textId="35DD1EE9"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c>
          <w:tcPr>
            <w:tcW w:w="1120" w:type="dxa"/>
          </w:tcPr>
          <w:p w14:paraId="087A682F" w14:textId="7EF7B3C6"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c>
          <w:tcPr>
            <w:tcW w:w="900" w:type="dxa"/>
          </w:tcPr>
          <w:p w14:paraId="5AFB8EDE" w14:textId="7FB8A425"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r>
      <w:tr w:rsidR="00D0556A" w:rsidRPr="004943B2" w14:paraId="0E61AD95" w14:textId="77777777" w:rsidTr="00D74CF3">
        <w:trPr>
          <w:cantSplit/>
        </w:trPr>
        <w:tc>
          <w:tcPr>
            <w:tcW w:w="4169" w:type="dxa"/>
          </w:tcPr>
          <w:p w14:paraId="06D2C788" w14:textId="697E0AF6" w:rsidR="00D0556A" w:rsidRPr="004943B2" w:rsidRDefault="00D0556A" w:rsidP="00D0556A">
            <w:pPr>
              <w:spacing w:before="40" w:after="40"/>
              <w:rPr>
                <w:rFonts w:asciiTheme="minorHAnsi" w:hAnsiTheme="minorHAnsi"/>
                <w:sz w:val="18"/>
                <w:szCs w:val="18"/>
              </w:rPr>
            </w:pPr>
            <w:r w:rsidRPr="004943B2">
              <w:rPr>
                <w:rFonts w:asciiTheme="minorHAnsi" w:hAnsiTheme="minorHAnsi"/>
                <w:sz w:val="18"/>
                <w:szCs w:val="18"/>
              </w:rPr>
              <w:t>EPA certificate</w:t>
            </w:r>
          </w:p>
        </w:tc>
        <w:tc>
          <w:tcPr>
            <w:tcW w:w="2769" w:type="dxa"/>
          </w:tcPr>
          <w:p w14:paraId="5F3D6DF8" w14:textId="23777262"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szCs w:val="20"/>
              </w:rPr>
              <w:t>☐</w:t>
            </w:r>
          </w:p>
        </w:tc>
        <w:tc>
          <w:tcPr>
            <w:tcW w:w="1134" w:type="dxa"/>
          </w:tcPr>
          <w:p w14:paraId="52B09A76" w14:textId="386BEC79"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szCs w:val="20"/>
              </w:rPr>
              <w:t>☐</w:t>
            </w:r>
          </w:p>
        </w:tc>
        <w:tc>
          <w:tcPr>
            <w:tcW w:w="1120" w:type="dxa"/>
          </w:tcPr>
          <w:p w14:paraId="5C2272C3" w14:textId="1F5BB3C1"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szCs w:val="20"/>
              </w:rPr>
              <w:t>☐</w:t>
            </w:r>
          </w:p>
        </w:tc>
        <w:tc>
          <w:tcPr>
            <w:tcW w:w="900" w:type="dxa"/>
          </w:tcPr>
          <w:p w14:paraId="30999123" w14:textId="1C0BA5C4"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szCs w:val="20"/>
              </w:rPr>
              <w:t>☐</w:t>
            </w:r>
          </w:p>
        </w:tc>
      </w:tr>
      <w:tr w:rsidR="00D0556A" w:rsidRPr="004943B2" w14:paraId="686EE735" w14:textId="77777777" w:rsidTr="00D74CF3">
        <w:trPr>
          <w:cantSplit/>
        </w:trPr>
        <w:tc>
          <w:tcPr>
            <w:tcW w:w="4169" w:type="dxa"/>
          </w:tcPr>
          <w:p w14:paraId="0FC1BE3D" w14:textId="05E321F4" w:rsidR="00D0556A" w:rsidRPr="004943B2" w:rsidRDefault="00D0556A" w:rsidP="00D0556A">
            <w:pPr>
              <w:spacing w:before="40" w:after="40"/>
              <w:rPr>
                <w:rFonts w:asciiTheme="minorHAnsi" w:hAnsiTheme="minorHAnsi"/>
                <w:sz w:val="18"/>
                <w:szCs w:val="18"/>
              </w:rPr>
            </w:pPr>
            <w:r w:rsidRPr="004943B2">
              <w:rPr>
                <w:rFonts w:asciiTheme="minorHAnsi" w:hAnsiTheme="minorHAnsi"/>
                <w:sz w:val="18"/>
                <w:szCs w:val="18"/>
              </w:rPr>
              <w:t xml:space="preserve">VicRoads certificate </w:t>
            </w:r>
          </w:p>
        </w:tc>
        <w:tc>
          <w:tcPr>
            <w:tcW w:w="2769" w:type="dxa"/>
          </w:tcPr>
          <w:p w14:paraId="16ABF444" w14:textId="759A47A2"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szCs w:val="20"/>
              </w:rPr>
              <w:t>☐</w:t>
            </w:r>
          </w:p>
        </w:tc>
        <w:tc>
          <w:tcPr>
            <w:tcW w:w="1134" w:type="dxa"/>
          </w:tcPr>
          <w:p w14:paraId="5DC6A0D4" w14:textId="3ABB0252"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szCs w:val="20"/>
              </w:rPr>
              <w:t>☐</w:t>
            </w:r>
          </w:p>
        </w:tc>
        <w:tc>
          <w:tcPr>
            <w:tcW w:w="1120" w:type="dxa"/>
          </w:tcPr>
          <w:p w14:paraId="2814D3D6" w14:textId="3354CFFE"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szCs w:val="20"/>
              </w:rPr>
              <w:t>☐</w:t>
            </w:r>
          </w:p>
        </w:tc>
        <w:tc>
          <w:tcPr>
            <w:tcW w:w="900" w:type="dxa"/>
          </w:tcPr>
          <w:p w14:paraId="420F8505" w14:textId="57BC12B2"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szCs w:val="20"/>
              </w:rPr>
              <w:t>☐</w:t>
            </w:r>
          </w:p>
        </w:tc>
      </w:tr>
      <w:tr w:rsidR="00D0556A" w:rsidRPr="004943B2" w14:paraId="1B23D3BC" w14:textId="77777777" w:rsidTr="00D74CF3">
        <w:trPr>
          <w:cantSplit/>
        </w:trPr>
        <w:tc>
          <w:tcPr>
            <w:tcW w:w="4169" w:type="dxa"/>
          </w:tcPr>
          <w:p w14:paraId="525964DB" w14:textId="01A551FA" w:rsidR="00D0556A" w:rsidRPr="004943B2" w:rsidRDefault="00D0556A" w:rsidP="00D0556A">
            <w:pPr>
              <w:spacing w:before="40" w:after="40"/>
              <w:rPr>
                <w:rFonts w:asciiTheme="minorHAnsi" w:hAnsiTheme="minorHAnsi"/>
                <w:sz w:val="18"/>
                <w:szCs w:val="18"/>
              </w:rPr>
            </w:pPr>
            <w:proofErr w:type="gramStart"/>
            <w:r w:rsidRPr="004943B2">
              <w:rPr>
                <w:rFonts w:asciiTheme="minorHAnsi" w:hAnsiTheme="minorHAnsi"/>
                <w:sz w:val="18"/>
                <w:szCs w:val="18"/>
              </w:rPr>
              <w:t>Owners</w:t>
            </w:r>
            <w:proofErr w:type="gramEnd"/>
            <w:r w:rsidRPr="004943B2">
              <w:rPr>
                <w:rFonts w:asciiTheme="minorHAnsi" w:hAnsiTheme="minorHAnsi"/>
                <w:sz w:val="18"/>
                <w:szCs w:val="18"/>
              </w:rPr>
              <w:t xml:space="preserve"> corporation certificate for each </w:t>
            </w:r>
            <w:proofErr w:type="gramStart"/>
            <w:r w:rsidRPr="004943B2">
              <w:rPr>
                <w:rFonts w:asciiTheme="minorHAnsi" w:hAnsiTheme="minorHAnsi"/>
                <w:sz w:val="18"/>
                <w:szCs w:val="18"/>
              </w:rPr>
              <w:t>owners</w:t>
            </w:r>
            <w:proofErr w:type="gramEnd"/>
            <w:r w:rsidRPr="004943B2">
              <w:rPr>
                <w:rFonts w:asciiTheme="minorHAnsi" w:hAnsiTheme="minorHAnsi"/>
                <w:sz w:val="18"/>
                <w:szCs w:val="18"/>
              </w:rPr>
              <w:t xml:space="preserve"> corporation on the title (only if the land is subject to an OC)</w:t>
            </w:r>
          </w:p>
        </w:tc>
        <w:tc>
          <w:tcPr>
            <w:tcW w:w="2769" w:type="dxa"/>
          </w:tcPr>
          <w:p w14:paraId="4A7F1068"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07A54060"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69A34723"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37ED069F"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r>
      <w:tr w:rsidR="00D0556A" w:rsidRPr="004943B2" w14:paraId="483FCA11" w14:textId="77777777" w:rsidTr="00D74CF3">
        <w:trPr>
          <w:cantSplit/>
        </w:trPr>
        <w:tc>
          <w:tcPr>
            <w:tcW w:w="4169" w:type="dxa"/>
          </w:tcPr>
          <w:p w14:paraId="487EA232" w14:textId="63DF632E" w:rsidR="00D0556A" w:rsidRPr="004943B2" w:rsidRDefault="00D0556A" w:rsidP="00D0556A">
            <w:pPr>
              <w:spacing w:before="40" w:after="40"/>
              <w:rPr>
                <w:rFonts w:asciiTheme="minorHAnsi" w:hAnsiTheme="minorHAnsi"/>
              </w:rPr>
            </w:pPr>
            <w:proofErr w:type="gramStart"/>
            <w:r w:rsidRPr="004943B2">
              <w:rPr>
                <w:rFonts w:asciiTheme="minorHAnsi" w:hAnsiTheme="minorHAnsi"/>
                <w:sz w:val="18"/>
                <w:szCs w:val="18"/>
              </w:rPr>
              <w:t>Owners</w:t>
            </w:r>
            <w:proofErr w:type="gramEnd"/>
            <w:r w:rsidRPr="004943B2">
              <w:rPr>
                <w:rFonts w:asciiTheme="minorHAnsi" w:hAnsiTheme="minorHAnsi"/>
                <w:sz w:val="18"/>
                <w:szCs w:val="18"/>
              </w:rPr>
              <w:t xml:space="preserve"> corporation free report for each </w:t>
            </w:r>
            <w:proofErr w:type="gramStart"/>
            <w:r w:rsidRPr="004943B2">
              <w:rPr>
                <w:rFonts w:asciiTheme="minorHAnsi" w:hAnsiTheme="minorHAnsi"/>
                <w:sz w:val="18"/>
                <w:szCs w:val="18"/>
              </w:rPr>
              <w:t>owners</w:t>
            </w:r>
            <w:proofErr w:type="gramEnd"/>
            <w:r w:rsidRPr="004943B2">
              <w:rPr>
                <w:rFonts w:asciiTheme="minorHAnsi" w:hAnsiTheme="minorHAnsi"/>
                <w:sz w:val="18"/>
                <w:szCs w:val="18"/>
              </w:rPr>
              <w:t xml:space="preserve"> corporation on the title (only if the land is subject to an OC)</w:t>
            </w:r>
          </w:p>
        </w:tc>
        <w:tc>
          <w:tcPr>
            <w:tcW w:w="2769" w:type="dxa"/>
          </w:tcPr>
          <w:p w14:paraId="3D213C45"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3F11F051"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2E3D37AE"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7D8DE965"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r>
      <w:tr w:rsidR="00D0556A" w:rsidRPr="004943B2" w14:paraId="5F52EE8F" w14:textId="77777777" w:rsidTr="00D74CF3">
        <w:trPr>
          <w:cantSplit/>
        </w:trPr>
        <w:tc>
          <w:tcPr>
            <w:tcW w:w="4169" w:type="dxa"/>
          </w:tcPr>
          <w:p w14:paraId="02B31149" w14:textId="51442438" w:rsidR="00D0556A" w:rsidRPr="004943B2" w:rsidRDefault="00D0556A" w:rsidP="00D0556A">
            <w:pPr>
              <w:spacing w:before="40" w:after="40"/>
              <w:rPr>
                <w:rFonts w:asciiTheme="minorHAnsi" w:hAnsiTheme="minorHAnsi"/>
                <w:sz w:val="18"/>
                <w:szCs w:val="18"/>
                <w:lang w:val="en-AU"/>
              </w:rPr>
            </w:pPr>
            <w:proofErr w:type="gramStart"/>
            <w:r w:rsidRPr="004943B2">
              <w:rPr>
                <w:rFonts w:asciiTheme="minorHAnsi" w:hAnsiTheme="minorHAnsi"/>
                <w:sz w:val="18"/>
                <w:szCs w:val="18"/>
              </w:rPr>
              <w:t>Owners</w:t>
            </w:r>
            <w:proofErr w:type="gramEnd"/>
            <w:r w:rsidRPr="004943B2">
              <w:rPr>
                <w:rFonts w:asciiTheme="minorHAnsi" w:hAnsiTheme="minorHAnsi"/>
                <w:sz w:val="18"/>
                <w:szCs w:val="18"/>
              </w:rPr>
              <w:t xml:space="preserve"> corporation insurance (only if the land is subject to an OC and there are three or more lots on the plan of subdivision)</w:t>
            </w:r>
          </w:p>
        </w:tc>
        <w:tc>
          <w:tcPr>
            <w:tcW w:w="2769" w:type="dxa"/>
          </w:tcPr>
          <w:p w14:paraId="2AAACDDA" w14:textId="0730054E"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szCs w:val="20"/>
              </w:rPr>
              <w:t>☐</w:t>
            </w:r>
          </w:p>
        </w:tc>
        <w:tc>
          <w:tcPr>
            <w:tcW w:w="1134" w:type="dxa"/>
          </w:tcPr>
          <w:p w14:paraId="75A7DDBD" w14:textId="5848369C"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szCs w:val="20"/>
              </w:rPr>
              <w:t>☐</w:t>
            </w:r>
          </w:p>
        </w:tc>
        <w:tc>
          <w:tcPr>
            <w:tcW w:w="1120" w:type="dxa"/>
          </w:tcPr>
          <w:p w14:paraId="43F29FAF" w14:textId="6563DE21"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szCs w:val="20"/>
              </w:rPr>
              <w:t>☐</w:t>
            </w:r>
          </w:p>
        </w:tc>
        <w:tc>
          <w:tcPr>
            <w:tcW w:w="900" w:type="dxa"/>
          </w:tcPr>
          <w:p w14:paraId="4DE4D883" w14:textId="434D8190"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szCs w:val="20"/>
              </w:rPr>
              <w:t>☐</w:t>
            </w:r>
          </w:p>
        </w:tc>
      </w:tr>
      <w:tr w:rsidR="00D0556A" w:rsidRPr="004943B2" w14:paraId="36750DD4" w14:textId="77777777" w:rsidTr="00D74CF3">
        <w:trPr>
          <w:cantSplit/>
        </w:trPr>
        <w:tc>
          <w:tcPr>
            <w:tcW w:w="4169" w:type="dxa"/>
          </w:tcPr>
          <w:p w14:paraId="5B4EEDA4" w14:textId="5A6699B0" w:rsidR="00D0556A" w:rsidRPr="004943B2" w:rsidRDefault="00D0556A" w:rsidP="00D0556A">
            <w:pPr>
              <w:spacing w:before="40" w:after="40"/>
              <w:rPr>
                <w:rFonts w:asciiTheme="minorHAnsi" w:hAnsiTheme="minorHAnsi"/>
                <w:sz w:val="18"/>
                <w:szCs w:val="18"/>
              </w:rPr>
            </w:pPr>
            <w:proofErr w:type="gramStart"/>
            <w:r w:rsidRPr="004943B2">
              <w:rPr>
                <w:rFonts w:asciiTheme="minorHAnsi" w:hAnsiTheme="minorHAnsi"/>
                <w:sz w:val="18"/>
                <w:szCs w:val="18"/>
              </w:rPr>
              <w:t>Owners</w:t>
            </w:r>
            <w:proofErr w:type="gramEnd"/>
            <w:r w:rsidRPr="004943B2">
              <w:rPr>
                <w:rFonts w:asciiTheme="minorHAnsi" w:hAnsiTheme="minorHAnsi"/>
                <w:sz w:val="18"/>
                <w:szCs w:val="18"/>
              </w:rPr>
              <w:t xml:space="preserve"> corporation model rules (only if the land is subject to an OC)</w:t>
            </w:r>
          </w:p>
        </w:tc>
        <w:tc>
          <w:tcPr>
            <w:tcW w:w="2769" w:type="dxa"/>
          </w:tcPr>
          <w:p w14:paraId="7DFF98D9" w14:textId="3FC1F313"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rPr>
              <w:t>☐</w:t>
            </w:r>
          </w:p>
        </w:tc>
        <w:tc>
          <w:tcPr>
            <w:tcW w:w="1134" w:type="dxa"/>
          </w:tcPr>
          <w:p w14:paraId="5197A8BA" w14:textId="0E96EF1B"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rPr>
              <w:t>☐</w:t>
            </w:r>
          </w:p>
        </w:tc>
        <w:tc>
          <w:tcPr>
            <w:tcW w:w="1120" w:type="dxa"/>
          </w:tcPr>
          <w:p w14:paraId="4230D6FD" w14:textId="4F5F920F"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rPr>
              <w:t>☐</w:t>
            </w:r>
          </w:p>
        </w:tc>
        <w:tc>
          <w:tcPr>
            <w:tcW w:w="900" w:type="dxa"/>
          </w:tcPr>
          <w:p w14:paraId="66B48592" w14:textId="20732C95"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rPr>
              <w:t>☐</w:t>
            </w:r>
          </w:p>
        </w:tc>
      </w:tr>
      <w:tr w:rsidR="00D0556A" w:rsidRPr="004943B2" w14:paraId="437BDA36" w14:textId="77777777" w:rsidTr="00D74CF3">
        <w:trPr>
          <w:cantSplit/>
        </w:trPr>
        <w:tc>
          <w:tcPr>
            <w:tcW w:w="4169" w:type="dxa"/>
          </w:tcPr>
          <w:p w14:paraId="73406258" w14:textId="6159BABE" w:rsidR="00D0556A" w:rsidRPr="004943B2" w:rsidRDefault="00D0556A" w:rsidP="00D0556A">
            <w:pPr>
              <w:spacing w:before="40" w:after="40"/>
              <w:rPr>
                <w:rFonts w:asciiTheme="minorHAnsi" w:hAnsiTheme="minorHAnsi"/>
                <w:sz w:val="18"/>
                <w:szCs w:val="18"/>
              </w:rPr>
            </w:pPr>
            <w:r w:rsidRPr="004943B2">
              <w:rPr>
                <w:rFonts w:asciiTheme="minorHAnsi" w:hAnsiTheme="minorHAnsi"/>
                <w:sz w:val="18"/>
                <w:szCs w:val="18"/>
              </w:rPr>
              <w:lastRenderedPageBreak/>
              <w:t xml:space="preserve">Additional </w:t>
            </w:r>
            <w:proofErr w:type="gramStart"/>
            <w:r w:rsidRPr="004943B2">
              <w:rPr>
                <w:rFonts w:asciiTheme="minorHAnsi" w:hAnsiTheme="minorHAnsi"/>
                <w:sz w:val="18"/>
                <w:szCs w:val="18"/>
              </w:rPr>
              <w:t>owners</w:t>
            </w:r>
            <w:proofErr w:type="gramEnd"/>
            <w:r w:rsidRPr="004943B2">
              <w:rPr>
                <w:rFonts w:asciiTheme="minorHAnsi" w:hAnsiTheme="minorHAnsi"/>
                <w:sz w:val="18"/>
                <w:szCs w:val="18"/>
              </w:rPr>
              <w:t xml:space="preserve"> corporation registered rules (only if the land is subject to an OC and additional </w:t>
            </w:r>
            <w:proofErr w:type="gramStart"/>
            <w:r w:rsidRPr="004943B2">
              <w:rPr>
                <w:rFonts w:asciiTheme="minorHAnsi" w:hAnsiTheme="minorHAnsi"/>
                <w:sz w:val="18"/>
                <w:szCs w:val="18"/>
              </w:rPr>
              <w:t>owners</w:t>
            </w:r>
            <w:proofErr w:type="gramEnd"/>
            <w:r w:rsidRPr="004943B2">
              <w:rPr>
                <w:rFonts w:asciiTheme="minorHAnsi" w:hAnsiTheme="minorHAnsi"/>
                <w:sz w:val="18"/>
                <w:szCs w:val="18"/>
              </w:rPr>
              <w:t xml:space="preserve"> corporation rules apply)</w:t>
            </w:r>
          </w:p>
        </w:tc>
        <w:tc>
          <w:tcPr>
            <w:tcW w:w="2769" w:type="dxa"/>
          </w:tcPr>
          <w:p w14:paraId="0809C634" w14:textId="3622D9A7"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c>
          <w:tcPr>
            <w:tcW w:w="1134" w:type="dxa"/>
          </w:tcPr>
          <w:p w14:paraId="7A0572A8" w14:textId="7204AB2A"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c>
          <w:tcPr>
            <w:tcW w:w="1120" w:type="dxa"/>
          </w:tcPr>
          <w:p w14:paraId="3E0C98F5" w14:textId="38275FBF"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c>
          <w:tcPr>
            <w:tcW w:w="900" w:type="dxa"/>
          </w:tcPr>
          <w:p w14:paraId="0454C7A6" w14:textId="5990F508" w:rsidR="00D0556A" w:rsidRPr="004943B2" w:rsidRDefault="00D0556A" w:rsidP="00D0556A">
            <w:pPr>
              <w:spacing w:before="40" w:after="40"/>
              <w:jc w:val="center"/>
              <w:rPr>
                <w:rFonts w:asciiTheme="minorHAnsi" w:hAnsiTheme="minorHAnsi" w:cs="Segoe UI Symbol"/>
                <w:sz w:val="20"/>
              </w:rPr>
            </w:pPr>
            <w:r w:rsidRPr="004943B2">
              <w:rPr>
                <w:rFonts w:asciiTheme="minorHAnsi" w:hAnsiTheme="minorHAnsi" w:cs="Segoe UI Symbol"/>
                <w:sz w:val="20"/>
              </w:rPr>
              <w:t>☐</w:t>
            </w:r>
          </w:p>
        </w:tc>
      </w:tr>
      <w:tr w:rsidR="00D0556A" w:rsidRPr="004943B2" w14:paraId="113287A6" w14:textId="77777777" w:rsidTr="00D74CF3">
        <w:trPr>
          <w:cantSplit/>
        </w:trPr>
        <w:tc>
          <w:tcPr>
            <w:tcW w:w="4169" w:type="dxa"/>
          </w:tcPr>
          <w:p w14:paraId="7DD5DAA7" w14:textId="225F03D0" w:rsidR="00D0556A" w:rsidRPr="004943B2" w:rsidRDefault="00D0556A" w:rsidP="00D0556A">
            <w:pPr>
              <w:spacing w:before="40" w:after="40"/>
              <w:rPr>
                <w:rFonts w:asciiTheme="minorHAnsi" w:hAnsiTheme="minorHAnsi"/>
                <w:sz w:val="18"/>
                <w:szCs w:val="18"/>
              </w:rPr>
            </w:pPr>
            <w:r w:rsidRPr="004943B2">
              <w:rPr>
                <w:rFonts w:asciiTheme="minorHAnsi" w:hAnsiTheme="minorHAnsi"/>
                <w:sz w:val="18"/>
                <w:szCs w:val="18"/>
              </w:rPr>
              <w:t>Statement of advice and information for prospective purchasers and lot owners (only if the land is subject to an OC)</w:t>
            </w:r>
          </w:p>
        </w:tc>
        <w:tc>
          <w:tcPr>
            <w:tcW w:w="2769" w:type="dxa"/>
          </w:tcPr>
          <w:p w14:paraId="103224B8" w14:textId="6EF9F95F"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rPr>
              <w:t>☐</w:t>
            </w:r>
          </w:p>
        </w:tc>
        <w:tc>
          <w:tcPr>
            <w:tcW w:w="1134" w:type="dxa"/>
          </w:tcPr>
          <w:p w14:paraId="6EB7579F" w14:textId="06E09B04"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rPr>
              <w:t>☐</w:t>
            </w:r>
          </w:p>
        </w:tc>
        <w:tc>
          <w:tcPr>
            <w:tcW w:w="1120" w:type="dxa"/>
          </w:tcPr>
          <w:p w14:paraId="0AA9521F" w14:textId="71A7A96A"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rPr>
              <w:t>☐</w:t>
            </w:r>
          </w:p>
        </w:tc>
        <w:tc>
          <w:tcPr>
            <w:tcW w:w="900" w:type="dxa"/>
          </w:tcPr>
          <w:p w14:paraId="1CC01D58" w14:textId="481B33DB"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rPr>
              <w:t>☐</w:t>
            </w:r>
          </w:p>
        </w:tc>
      </w:tr>
      <w:tr w:rsidR="00D0556A" w:rsidRPr="004943B2" w14:paraId="53CA622A" w14:textId="77777777" w:rsidTr="00D74CF3">
        <w:trPr>
          <w:cantSplit/>
        </w:trPr>
        <w:tc>
          <w:tcPr>
            <w:tcW w:w="4169" w:type="dxa"/>
          </w:tcPr>
          <w:p w14:paraId="5237CA1D" w14:textId="5097F02F" w:rsidR="00D0556A" w:rsidRPr="004943B2" w:rsidRDefault="00D0556A" w:rsidP="00D0556A">
            <w:pPr>
              <w:spacing w:before="40" w:after="40"/>
              <w:rPr>
                <w:rFonts w:asciiTheme="minorHAnsi" w:hAnsiTheme="minorHAnsi"/>
                <w:sz w:val="18"/>
                <w:szCs w:val="18"/>
              </w:rPr>
            </w:pPr>
            <w:r w:rsidRPr="004943B2">
              <w:rPr>
                <w:rFonts w:asciiTheme="minorHAnsi" w:hAnsiTheme="minorHAnsi"/>
                <w:sz w:val="18"/>
                <w:szCs w:val="18"/>
              </w:rPr>
              <w:t>Owner-builder condition report (only if: owner-builder requirements apply)</w:t>
            </w:r>
          </w:p>
        </w:tc>
        <w:tc>
          <w:tcPr>
            <w:tcW w:w="2769" w:type="dxa"/>
          </w:tcPr>
          <w:p w14:paraId="41518F81"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70FB20F3"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6D2C095A"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4D6FC44B"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r>
      <w:tr w:rsidR="00D0556A" w:rsidRPr="004943B2" w14:paraId="56FB6CF7" w14:textId="77777777" w:rsidTr="00D74CF3">
        <w:trPr>
          <w:cantSplit/>
        </w:trPr>
        <w:tc>
          <w:tcPr>
            <w:tcW w:w="4169" w:type="dxa"/>
          </w:tcPr>
          <w:p w14:paraId="1624B4D6" w14:textId="1165A053" w:rsidR="00D0556A" w:rsidRPr="004943B2" w:rsidRDefault="00D0556A" w:rsidP="00D0556A">
            <w:pPr>
              <w:spacing w:before="40" w:after="40"/>
              <w:rPr>
                <w:rFonts w:asciiTheme="minorHAnsi" w:hAnsiTheme="minorHAnsi"/>
                <w:sz w:val="18"/>
                <w:szCs w:val="18"/>
              </w:rPr>
            </w:pPr>
            <w:r w:rsidRPr="004943B2">
              <w:rPr>
                <w:rFonts w:asciiTheme="minorHAnsi" w:hAnsiTheme="minorHAnsi"/>
                <w:sz w:val="18"/>
                <w:szCs w:val="18"/>
              </w:rPr>
              <w:t>Owner-builder statutory insurance scheme notice of cover (only if owner-builder insurance requirements apply)</w:t>
            </w:r>
          </w:p>
        </w:tc>
        <w:tc>
          <w:tcPr>
            <w:tcW w:w="2769" w:type="dxa"/>
          </w:tcPr>
          <w:p w14:paraId="193A2579"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66BC617B"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63F4934F"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38C41F8E"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r>
      <w:tr w:rsidR="00D0556A" w:rsidRPr="004943B2" w14:paraId="5D17D8B8" w14:textId="77777777" w:rsidTr="00D74CF3">
        <w:trPr>
          <w:cantSplit/>
        </w:trPr>
        <w:tc>
          <w:tcPr>
            <w:tcW w:w="4169" w:type="dxa"/>
          </w:tcPr>
          <w:p w14:paraId="02A42333" w14:textId="77777777" w:rsidR="00D0556A" w:rsidRPr="004943B2" w:rsidRDefault="00D0556A" w:rsidP="00D0556A">
            <w:pPr>
              <w:spacing w:before="40" w:after="40"/>
              <w:rPr>
                <w:rFonts w:asciiTheme="minorHAnsi" w:hAnsiTheme="minorHAnsi"/>
                <w:sz w:val="18"/>
                <w:szCs w:val="18"/>
              </w:rPr>
            </w:pPr>
            <w:r w:rsidRPr="004943B2">
              <w:rPr>
                <w:rFonts w:asciiTheme="minorHAnsi" w:hAnsiTheme="minorHAnsi"/>
                <w:sz w:val="18"/>
                <w:szCs w:val="18"/>
              </w:rPr>
              <w:t xml:space="preserve">Leases (including any deeds of renewal or variation, and disclosure statements), tenancy, or </w:t>
            </w:r>
            <w:proofErr w:type="spellStart"/>
            <w:r w:rsidRPr="004943B2">
              <w:rPr>
                <w:rFonts w:asciiTheme="minorHAnsi" w:hAnsiTheme="minorHAnsi"/>
                <w:sz w:val="18"/>
                <w:szCs w:val="18"/>
              </w:rPr>
              <w:t>licence</w:t>
            </w:r>
            <w:proofErr w:type="spellEnd"/>
            <w:r w:rsidRPr="004943B2">
              <w:rPr>
                <w:rFonts w:asciiTheme="minorHAnsi" w:hAnsiTheme="minorHAnsi"/>
                <w:sz w:val="18"/>
                <w:szCs w:val="18"/>
              </w:rPr>
              <w:t xml:space="preserve"> documents </w:t>
            </w:r>
          </w:p>
          <w:p w14:paraId="29080E95" w14:textId="4BCC9605" w:rsidR="00D0556A" w:rsidRPr="004943B2" w:rsidRDefault="00D0556A" w:rsidP="00D0556A">
            <w:pPr>
              <w:spacing w:before="40" w:after="40"/>
              <w:rPr>
                <w:rFonts w:asciiTheme="minorHAnsi" w:hAnsiTheme="minorHAnsi"/>
                <w:sz w:val="18"/>
                <w:szCs w:val="18"/>
              </w:rPr>
            </w:pPr>
            <w:r w:rsidRPr="004943B2">
              <w:rPr>
                <w:rFonts w:asciiTheme="minorHAnsi" w:hAnsiTheme="minorHAnsi"/>
                <w:sz w:val="18"/>
                <w:szCs w:val="18"/>
              </w:rPr>
              <w:t xml:space="preserve">(only if the property is sold subject to a lease, residential tenancy or </w:t>
            </w:r>
            <w:proofErr w:type="spellStart"/>
            <w:r w:rsidRPr="004943B2">
              <w:rPr>
                <w:rFonts w:asciiTheme="minorHAnsi" w:hAnsiTheme="minorHAnsi"/>
                <w:sz w:val="18"/>
                <w:szCs w:val="18"/>
              </w:rPr>
              <w:t>licence</w:t>
            </w:r>
            <w:proofErr w:type="spellEnd"/>
            <w:r w:rsidRPr="004943B2">
              <w:rPr>
                <w:rFonts w:asciiTheme="minorHAnsi" w:hAnsiTheme="minorHAnsi"/>
                <w:sz w:val="18"/>
                <w:szCs w:val="18"/>
              </w:rPr>
              <w:t xml:space="preserve"> )</w:t>
            </w:r>
          </w:p>
        </w:tc>
        <w:tc>
          <w:tcPr>
            <w:tcW w:w="2769" w:type="dxa"/>
          </w:tcPr>
          <w:p w14:paraId="352439EE"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49CF2418"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2AA8953F"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20725447"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r>
      <w:tr w:rsidR="00D0556A" w:rsidRPr="004943B2" w14:paraId="36B34CF0" w14:textId="77777777" w:rsidTr="00D74CF3">
        <w:trPr>
          <w:cantSplit/>
        </w:trPr>
        <w:tc>
          <w:tcPr>
            <w:tcW w:w="4169" w:type="dxa"/>
          </w:tcPr>
          <w:p w14:paraId="76E1FC22" w14:textId="4AB73BF9" w:rsidR="00D0556A" w:rsidRPr="004943B2" w:rsidRDefault="00D0556A" w:rsidP="00D0556A">
            <w:pPr>
              <w:spacing w:before="40" w:after="40"/>
              <w:rPr>
                <w:rFonts w:asciiTheme="minorHAnsi" w:hAnsiTheme="minorHAnsi"/>
              </w:rPr>
            </w:pPr>
            <w:r w:rsidRPr="004943B2">
              <w:rPr>
                <w:rFonts w:asciiTheme="minorHAnsi" w:hAnsiTheme="minorHAnsi"/>
                <w:sz w:val="18"/>
                <w:szCs w:val="18"/>
              </w:rPr>
              <w:t xml:space="preserve">Any </w:t>
            </w:r>
            <w:proofErr w:type="spellStart"/>
            <w:r w:rsidRPr="004943B2">
              <w:rPr>
                <w:rFonts w:asciiTheme="minorHAnsi" w:hAnsiTheme="minorHAnsi"/>
                <w:sz w:val="18"/>
                <w:szCs w:val="18"/>
              </w:rPr>
              <w:t>licence</w:t>
            </w:r>
            <w:proofErr w:type="spellEnd"/>
            <w:r w:rsidRPr="004943B2">
              <w:rPr>
                <w:rFonts w:asciiTheme="minorHAnsi" w:hAnsiTheme="minorHAnsi"/>
                <w:sz w:val="18"/>
                <w:szCs w:val="18"/>
              </w:rPr>
              <w:t xml:space="preserve"> to be transferred to the purchaser</w:t>
            </w:r>
          </w:p>
        </w:tc>
        <w:tc>
          <w:tcPr>
            <w:tcW w:w="2769" w:type="dxa"/>
          </w:tcPr>
          <w:p w14:paraId="569296C4"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50AEC521"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5BCD5A5A"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701026F4"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r>
      <w:tr w:rsidR="00D0556A" w:rsidRPr="004943B2" w14:paraId="2DB710BF" w14:textId="77777777" w:rsidTr="00D74CF3">
        <w:trPr>
          <w:cantSplit/>
        </w:trPr>
        <w:tc>
          <w:tcPr>
            <w:tcW w:w="4169" w:type="dxa"/>
          </w:tcPr>
          <w:p w14:paraId="11229F5A" w14:textId="5FA60268" w:rsidR="00D0556A" w:rsidRPr="004943B2" w:rsidDel="001629AF" w:rsidRDefault="00D0556A" w:rsidP="00D0556A">
            <w:pPr>
              <w:spacing w:before="40" w:after="40"/>
              <w:rPr>
                <w:rFonts w:asciiTheme="minorHAnsi" w:hAnsiTheme="minorHAnsi"/>
                <w:sz w:val="18"/>
                <w:szCs w:val="18"/>
              </w:rPr>
            </w:pPr>
            <w:r w:rsidRPr="004943B2">
              <w:rPr>
                <w:rFonts w:asciiTheme="minorHAnsi" w:hAnsiTheme="minorHAnsi"/>
                <w:sz w:val="18"/>
                <w:szCs w:val="18"/>
              </w:rPr>
              <w:t>Where the vendor is not the registered proprietor, the relevant document permitting the vendor to sell on behalf of the registered proprietor</w:t>
            </w:r>
          </w:p>
        </w:tc>
        <w:tc>
          <w:tcPr>
            <w:tcW w:w="2769" w:type="dxa"/>
          </w:tcPr>
          <w:p w14:paraId="7847FF9B" w14:textId="38F6AB4C"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szCs w:val="20"/>
              </w:rPr>
              <w:t>☐</w:t>
            </w:r>
          </w:p>
        </w:tc>
        <w:tc>
          <w:tcPr>
            <w:tcW w:w="1134" w:type="dxa"/>
          </w:tcPr>
          <w:p w14:paraId="7D25DB2F" w14:textId="6A164AC3"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szCs w:val="20"/>
              </w:rPr>
              <w:t>☐</w:t>
            </w:r>
          </w:p>
        </w:tc>
        <w:tc>
          <w:tcPr>
            <w:tcW w:w="1120" w:type="dxa"/>
          </w:tcPr>
          <w:p w14:paraId="3056A046" w14:textId="743F17F8"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szCs w:val="20"/>
              </w:rPr>
              <w:t>☐</w:t>
            </w:r>
          </w:p>
        </w:tc>
        <w:tc>
          <w:tcPr>
            <w:tcW w:w="900" w:type="dxa"/>
          </w:tcPr>
          <w:p w14:paraId="064F5D33" w14:textId="33876BF9" w:rsidR="00D0556A" w:rsidRPr="004943B2" w:rsidRDefault="00D0556A" w:rsidP="00D0556A">
            <w:pPr>
              <w:spacing w:before="40" w:after="40"/>
              <w:jc w:val="center"/>
              <w:rPr>
                <w:rFonts w:asciiTheme="minorHAnsi" w:hAnsiTheme="minorHAnsi" w:cs="Segoe UI Symbol"/>
                <w:sz w:val="20"/>
                <w:szCs w:val="20"/>
              </w:rPr>
            </w:pPr>
            <w:r w:rsidRPr="004943B2">
              <w:rPr>
                <w:rFonts w:asciiTheme="minorHAnsi" w:hAnsiTheme="minorHAnsi" w:cs="Segoe UI Symbol"/>
                <w:sz w:val="20"/>
                <w:szCs w:val="20"/>
              </w:rPr>
              <w:t>☐</w:t>
            </w:r>
          </w:p>
        </w:tc>
      </w:tr>
      <w:tr w:rsidR="00D0556A" w:rsidRPr="004943B2" w14:paraId="3E3F666D" w14:textId="77777777" w:rsidTr="00D74CF3">
        <w:trPr>
          <w:cantSplit/>
        </w:trPr>
        <w:tc>
          <w:tcPr>
            <w:tcW w:w="4169" w:type="dxa"/>
          </w:tcPr>
          <w:p w14:paraId="179B550D" w14:textId="73B10CC4" w:rsidR="00D0556A" w:rsidRPr="004943B2" w:rsidRDefault="00D0556A" w:rsidP="00D0556A">
            <w:pPr>
              <w:spacing w:before="40" w:after="40"/>
              <w:rPr>
                <w:rFonts w:asciiTheme="minorHAnsi" w:hAnsiTheme="minorHAnsi"/>
                <w:sz w:val="18"/>
                <w:szCs w:val="18"/>
              </w:rPr>
            </w:pPr>
            <w:r w:rsidRPr="004943B2">
              <w:rPr>
                <w:rFonts w:asciiTheme="minorHAnsi" w:hAnsiTheme="minorHAnsi"/>
                <w:sz w:val="18"/>
                <w:szCs w:val="18"/>
              </w:rPr>
              <w:t xml:space="preserve">Latest version of the unregistered plan of subdivision </w:t>
            </w:r>
            <w:r w:rsidR="00E612BE">
              <w:rPr>
                <w:rFonts w:asciiTheme="minorHAnsi" w:hAnsiTheme="minorHAnsi"/>
                <w:sz w:val="18"/>
                <w:szCs w:val="18"/>
              </w:rPr>
              <w:t xml:space="preserve">or the certified unregistered plan of subdivision </w:t>
            </w:r>
            <w:r w:rsidRPr="004943B2">
              <w:rPr>
                <w:rFonts w:asciiTheme="minorHAnsi" w:hAnsiTheme="minorHAnsi"/>
                <w:sz w:val="18"/>
                <w:szCs w:val="18"/>
              </w:rPr>
              <w:t>(only if off the plan)</w:t>
            </w:r>
          </w:p>
        </w:tc>
        <w:tc>
          <w:tcPr>
            <w:tcW w:w="2769" w:type="dxa"/>
          </w:tcPr>
          <w:p w14:paraId="3D1AA099"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34" w:type="dxa"/>
          </w:tcPr>
          <w:p w14:paraId="418FF55C"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1120" w:type="dxa"/>
          </w:tcPr>
          <w:p w14:paraId="4AC493DA"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c>
          <w:tcPr>
            <w:tcW w:w="900" w:type="dxa"/>
          </w:tcPr>
          <w:p w14:paraId="7268EC55" w14:textId="77777777" w:rsidR="00D0556A" w:rsidRPr="004943B2" w:rsidRDefault="00D0556A" w:rsidP="00D0556A">
            <w:pPr>
              <w:spacing w:before="40" w:after="40"/>
              <w:jc w:val="center"/>
              <w:rPr>
                <w:rFonts w:asciiTheme="minorHAnsi" w:hAnsiTheme="minorHAnsi"/>
              </w:rPr>
            </w:pPr>
            <w:r w:rsidRPr="004943B2">
              <w:rPr>
                <w:rFonts w:asciiTheme="minorHAnsi" w:hAnsiTheme="minorHAnsi" w:cs="Segoe UI Symbol"/>
                <w:sz w:val="20"/>
              </w:rPr>
              <w:t>☐</w:t>
            </w:r>
          </w:p>
        </w:tc>
      </w:tr>
    </w:tbl>
    <w:p w14:paraId="6A41AF2E" w14:textId="55D9DD97" w:rsidR="00B84943" w:rsidRPr="004943B2" w:rsidRDefault="00B84943" w:rsidP="55CE547A">
      <w:pPr>
        <w:spacing w:after="160" w:line="278" w:lineRule="auto"/>
        <w:rPr>
          <w:rFonts w:asciiTheme="minorHAnsi" w:hAnsiTheme="minorHAnsi"/>
          <w:lang w:val="en-AU"/>
        </w:rPr>
      </w:pPr>
    </w:p>
    <w:p w14:paraId="23804A6D" w14:textId="35A08DC7" w:rsidR="00B84943" w:rsidRPr="004943B2" w:rsidRDefault="00B84943" w:rsidP="00B84943">
      <w:pPr>
        <w:rPr>
          <w:rFonts w:asciiTheme="minorHAnsi" w:hAnsiTheme="minorHAnsi"/>
        </w:rPr>
      </w:pPr>
      <w:r w:rsidRPr="004943B2">
        <w:rPr>
          <w:rFonts w:asciiTheme="minorHAnsi" w:hAnsiTheme="minorHAnsi"/>
        </w:rPr>
        <w:br w:type="page"/>
      </w:r>
    </w:p>
    <w:p w14:paraId="687FA15E" w14:textId="076E0CCB" w:rsidR="00B84943" w:rsidRPr="004943B2" w:rsidRDefault="00B84943" w:rsidP="00054D07">
      <w:pPr>
        <w:rPr>
          <w:rFonts w:asciiTheme="minorHAnsi" w:hAnsiTheme="minorHAnsi"/>
        </w:rPr>
      </w:pPr>
      <w:r w:rsidRPr="004943B2">
        <w:rPr>
          <w:rFonts w:asciiTheme="minorHAnsi" w:hAnsiTheme="minorHAnsi"/>
          <w:b/>
          <w:color w:val="1F3364"/>
          <w:sz w:val="26"/>
          <w:szCs w:val="26"/>
        </w:rPr>
        <w:lastRenderedPageBreak/>
        <w:t xml:space="preserve">Part 3  Section </w:t>
      </w:r>
      <w:r w:rsidRPr="004943B2">
        <w:rPr>
          <w:rFonts w:asciiTheme="minorHAnsi" w:hAnsiTheme="minorHAnsi"/>
          <w:b/>
          <w:bCs/>
          <w:color w:val="1F3364"/>
          <w:sz w:val="26"/>
          <w:szCs w:val="26"/>
        </w:rPr>
        <w:t>32</w:t>
      </w:r>
      <w:r w:rsidRPr="004943B2">
        <w:rPr>
          <w:rFonts w:asciiTheme="minorHAnsi" w:hAnsiTheme="minorHAnsi"/>
          <w:b/>
          <w:color w:val="1F3364"/>
          <w:sz w:val="26"/>
          <w:szCs w:val="26"/>
        </w:rPr>
        <w:t xml:space="preserve"> statement</w:t>
      </w:r>
      <w:r w:rsidR="009A5B16" w:rsidRPr="004943B2">
        <w:rPr>
          <w:rFonts w:asciiTheme="minorHAnsi" w:hAnsiTheme="minorHAnsi"/>
          <w:b/>
          <w:color w:val="1F3364"/>
          <w:sz w:val="26"/>
          <w:szCs w:val="26"/>
        </w:rPr>
        <w:t xml:space="preserve"> </w:t>
      </w:r>
      <w:r w:rsidR="001E08B0" w:rsidRPr="004943B2">
        <w:rPr>
          <w:rFonts w:asciiTheme="minorHAnsi" w:hAnsiTheme="minorHAnsi"/>
          <w:b/>
          <w:color w:val="1F3364"/>
          <w:sz w:val="26"/>
          <w:szCs w:val="26"/>
        </w:rPr>
        <w:t>review</w:t>
      </w:r>
    </w:p>
    <w:tbl>
      <w:tblPr>
        <w:tblStyle w:val="TableGrid"/>
        <w:tblW w:w="9864" w:type="dxa"/>
        <w:tblLayout w:type="fixed"/>
        <w:tblLook w:val="04A0" w:firstRow="1" w:lastRow="0" w:firstColumn="1" w:lastColumn="0" w:noHBand="0" w:noVBand="1"/>
      </w:tblPr>
      <w:tblGrid>
        <w:gridCol w:w="567"/>
        <w:gridCol w:w="850"/>
        <w:gridCol w:w="5669"/>
        <w:gridCol w:w="850"/>
        <w:gridCol w:w="1928"/>
      </w:tblGrid>
      <w:tr w:rsidR="00B84943" w:rsidRPr="004943B2" w14:paraId="744144FB" w14:textId="77777777" w:rsidTr="003D45F0">
        <w:trPr>
          <w:cnfStyle w:val="100000000000" w:firstRow="1" w:lastRow="0" w:firstColumn="0" w:lastColumn="0" w:oddVBand="0" w:evenVBand="0" w:oddHBand="0" w:evenHBand="0" w:firstRowFirstColumn="0" w:firstRowLastColumn="0" w:lastRowFirstColumn="0" w:lastRowLastColumn="0"/>
          <w:cantSplit/>
          <w:tblHeader/>
        </w:trPr>
        <w:tc>
          <w:tcPr>
            <w:tcW w:w="567" w:type="dxa"/>
            <w:shd w:val="clear" w:color="auto" w:fill="E4E8F0"/>
          </w:tcPr>
          <w:p w14:paraId="591D70DB" w14:textId="77777777" w:rsidR="00B84943" w:rsidRPr="004943B2" w:rsidRDefault="00B84943" w:rsidP="00CF1612">
            <w:pPr>
              <w:spacing w:before="40" w:after="40"/>
              <w:rPr>
                <w:rFonts w:asciiTheme="minorHAnsi" w:hAnsiTheme="minorHAnsi"/>
              </w:rPr>
            </w:pPr>
            <w:r w:rsidRPr="004943B2">
              <w:rPr>
                <w:rFonts w:asciiTheme="minorHAnsi" w:hAnsiTheme="minorHAnsi"/>
                <w:b/>
                <w:color w:val="1F3364"/>
                <w:sz w:val="18"/>
              </w:rPr>
              <w:t>No.</w:t>
            </w:r>
          </w:p>
        </w:tc>
        <w:tc>
          <w:tcPr>
            <w:tcW w:w="850" w:type="dxa"/>
            <w:shd w:val="clear" w:color="auto" w:fill="E4E8F0"/>
          </w:tcPr>
          <w:p w14:paraId="597F6AD5" w14:textId="4686EDE4" w:rsidR="00B84943" w:rsidRPr="004943B2" w:rsidRDefault="00B84943" w:rsidP="00CF1612">
            <w:pPr>
              <w:spacing w:before="40" w:after="40"/>
              <w:rPr>
                <w:rFonts w:asciiTheme="minorHAnsi" w:hAnsiTheme="minorHAnsi"/>
                <w:b/>
                <w:color w:val="1F3364"/>
                <w:sz w:val="18"/>
                <w:szCs w:val="18"/>
              </w:rPr>
            </w:pPr>
            <w:r w:rsidRPr="004943B2">
              <w:rPr>
                <w:rFonts w:asciiTheme="minorHAnsi" w:hAnsiTheme="minorHAnsi"/>
                <w:b/>
                <w:color w:val="1F3364"/>
                <w:sz w:val="18"/>
                <w:szCs w:val="18"/>
              </w:rPr>
              <w:t>Ref</w:t>
            </w:r>
          </w:p>
        </w:tc>
        <w:tc>
          <w:tcPr>
            <w:tcW w:w="5669" w:type="dxa"/>
            <w:shd w:val="clear" w:color="auto" w:fill="E4E8F0"/>
          </w:tcPr>
          <w:p w14:paraId="08324F17" w14:textId="77777777" w:rsidR="00B84943" w:rsidRPr="004943B2" w:rsidRDefault="00B84943" w:rsidP="00CF1612">
            <w:pPr>
              <w:spacing w:before="40" w:after="40"/>
              <w:rPr>
                <w:rFonts w:asciiTheme="minorHAnsi" w:hAnsiTheme="minorHAnsi"/>
              </w:rPr>
            </w:pPr>
            <w:r w:rsidRPr="004943B2">
              <w:rPr>
                <w:rFonts w:asciiTheme="minorHAnsi" w:hAnsiTheme="minorHAnsi"/>
                <w:b/>
                <w:color w:val="1F3364"/>
                <w:sz w:val="18"/>
              </w:rPr>
              <w:t>Check</w:t>
            </w:r>
          </w:p>
        </w:tc>
        <w:tc>
          <w:tcPr>
            <w:tcW w:w="850" w:type="dxa"/>
            <w:shd w:val="clear" w:color="auto" w:fill="E4E8F0"/>
          </w:tcPr>
          <w:p w14:paraId="0D10D371" w14:textId="77777777" w:rsidR="00B84943" w:rsidRPr="004943B2" w:rsidRDefault="00B84943" w:rsidP="00CF1612">
            <w:pPr>
              <w:spacing w:before="40" w:after="40"/>
              <w:rPr>
                <w:rFonts w:asciiTheme="minorHAnsi" w:hAnsiTheme="minorHAnsi"/>
              </w:rPr>
            </w:pPr>
            <w:r w:rsidRPr="004943B2">
              <w:rPr>
                <w:rFonts w:asciiTheme="minorHAnsi" w:hAnsiTheme="minorHAnsi"/>
                <w:b/>
                <w:color w:val="1F3364"/>
                <w:sz w:val="18"/>
              </w:rPr>
              <w:t>See</w:t>
            </w:r>
          </w:p>
        </w:tc>
        <w:tc>
          <w:tcPr>
            <w:tcW w:w="1928" w:type="dxa"/>
            <w:shd w:val="clear" w:color="auto" w:fill="E4E8F0"/>
          </w:tcPr>
          <w:p w14:paraId="598C3E5C" w14:textId="77777777" w:rsidR="00B84943" w:rsidRPr="004943B2" w:rsidRDefault="00B84943" w:rsidP="00CF1612">
            <w:pPr>
              <w:spacing w:before="40" w:after="40"/>
              <w:rPr>
                <w:rFonts w:asciiTheme="minorHAnsi" w:hAnsiTheme="minorHAnsi"/>
              </w:rPr>
            </w:pPr>
            <w:r w:rsidRPr="004943B2">
              <w:rPr>
                <w:rFonts w:asciiTheme="minorHAnsi" w:hAnsiTheme="minorHAnsi"/>
                <w:b/>
                <w:color w:val="1F3364"/>
                <w:sz w:val="18"/>
              </w:rPr>
              <w:t>Result</w:t>
            </w:r>
          </w:p>
        </w:tc>
      </w:tr>
      <w:tr w:rsidR="00B84943" w:rsidRPr="004943B2" w14:paraId="32367507" w14:textId="77777777" w:rsidTr="003D45F0">
        <w:trPr>
          <w:cantSplit/>
        </w:trPr>
        <w:tc>
          <w:tcPr>
            <w:tcW w:w="9864" w:type="dxa"/>
            <w:gridSpan w:val="5"/>
            <w:shd w:val="clear" w:color="auto" w:fill="E4E8F0"/>
          </w:tcPr>
          <w:p w14:paraId="0700512A" w14:textId="4FDAF490" w:rsidR="00B84943" w:rsidRPr="004943B2" w:rsidRDefault="00B84943" w:rsidP="00CF1612">
            <w:pPr>
              <w:spacing w:before="40" w:after="40"/>
              <w:rPr>
                <w:rFonts w:asciiTheme="minorHAnsi" w:hAnsiTheme="minorHAnsi"/>
              </w:rPr>
            </w:pPr>
            <w:r w:rsidRPr="004943B2">
              <w:rPr>
                <w:rFonts w:asciiTheme="minorHAnsi" w:hAnsiTheme="minorHAnsi"/>
                <w:b/>
                <w:color w:val="1F3364"/>
                <w:sz w:val="20"/>
              </w:rPr>
              <w:t>Financial matters</w:t>
            </w:r>
          </w:p>
        </w:tc>
      </w:tr>
      <w:tr w:rsidR="00B84943" w:rsidRPr="004943B2" w14:paraId="26485A94" w14:textId="77777777" w:rsidTr="003D45F0">
        <w:trPr>
          <w:cantSplit/>
        </w:trPr>
        <w:tc>
          <w:tcPr>
            <w:tcW w:w="567" w:type="dxa"/>
          </w:tcPr>
          <w:p w14:paraId="6E344CEE" w14:textId="412DEE8A" w:rsidR="00B84943" w:rsidRPr="004943B2" w:rsidRDefault="000560BB" w:rsidP="00CF1612">
            <w:pPr>
              <w:spacing w:before="40" w:after="40"/>
              <w:rPr>
                <w:rFonts w:asciiTheme="minorHAnsi" w:hAnsiTheme="minorHAnsi"/>
              </w:rPr>
            </w:pPr>
            <w:r w:rsidRPr="004943B2">
              <w:rPr>
                <w:rFonts w:asciiTheme="minorHAnsi" w:hAnsiTheme="minorHAnsi"/>
                <w:b/>
                <w:sz w:val="18"/>
              </w:rPr>
              <w:t>36</w:t>
            </w:r>
          </w:p>
        </w:tc>
        <w:tc>
          <w:tcPr>
            <w:tcW w:w="850" w:type="dxa"/>
          </w:tcPr>
          <w:p w14:paraId="677839EC"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1.1</w:t>
            </w:r>
          </w:p>
        </w:tc>
        <w:tc>
          <w:tcPr>
            <w:tcW w:w="5669" w:type="dxa"/>
          </w:tcPr>
          <w:p w14:paraId="0A530F7E" w14:textId="648FE7D1" w:rsidR="00B84943" w:rsidRPr="004943B2" w:rsidRDefault="00B84943" w:rsidP="00CF1612">
            <w:pPr>
              <w:spacing w:before="40" w:after="40"/>
              <w:rPr>
                <w:rFonts w:asciiTheme="minorHAnsi" w:hAnsiTheme="minorHAnsi"/>
              </w:rPr>
            </w:pPr>
            <w:r w:rsidRPr="004943B2">
              <w:rPr>
                <w:rFonts w:asciiTheme="minorHAnsi" w:hAnsiTheme="minorHAnsi"/>
              </w:rPr>
              <w:t xml:space="preserve">Rates, taxes, charges and other similar </w:t>
            </w:r>
            <w:r w:rsidRPr="004943B2">
              <w:rPr>
                <w:rFonts w:asciiTheme="minorHAnsi" w:hAnsiTheme="minorHAnsi"/>
                <w:b/>
                <w:bCs/>
              </w:rPr>
              <w:t>outgoings</w:t>
            </w:r>
            <w:r w:rsidRPr="004943B2">
              <w:rPr>
                <w:rFonts w:asciiTheme="minorHAnsi" w:hAnsiTheme="minorHAnsi"/>
              </w:rPr>
              <w:t xml:space="preserve"> are correctly disclosed, including council rates, water rates, land tax, vacant residential land tax, absentee owner surcharge, </w:t>
            </w:r>
            <w:proofErr w:type="gramStart"/>
            <w:r w:rsidRPr="004943B2">
              <w:rPr>
                <w:rFonts w:asciiTheme="minorHAnsi" w:hAnsiTheme="minorHAnsi"/>
              </w:rPr>
              <w:t>owners</w:t>
            </w:r>
            <w:proofErr w:type="gramEnd"/>
            <w:r w:rsidRPr="004943B2">
              <w:rPr>
                <w:rFonts w:asciiTheme="minorHAnsi" w:hAnsiTheme="minorHAnsi"/>
              </w:rPr>
              <w:t xml:space="preserve"> corporation fees, congestion levy, and any GAIC.</w:t>
            </w:r>
          </w:p>
        </w:tc>
        <w:tc>
          <w:tcPr>
            <w:tcW w:w="850" w:type="dxa"/>
          </w:tcPr>
          <w:p w14:paraId="2F8618CF"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E25</w:t>
            </w:r>
          </w:p>
        </w:tc>
        <w:tc>
          <w:tcPr>
            <w:tcW w:w="1928" w:type="dxa"/>
          </w:tcPr>
          <w:p w14:paraId="46729457"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34B1B0F6"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1FDEA1AA"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3AECB77F"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252F3A54" w14:textId="77777777" w:rsidTr="003D45F0">
        <w:trPr>
          <w:cantSplit/>
        </w:trPr>
        <w:tc>
          <w:tcPr>
            <w:tcW w:w="567" w:type="dxa"/>
          </w:tcPr>
          <w:p w14:paraId="1FD79230" w14:textId="1A24FE6D" w:rsidR="00B84943" w:rsidRPr="004943B2" w:rsidRDefault="000560BB" w:rsidP="00CF1612">
            <w:pPr>
              <w:spacing w:before="40" w:after="40"/>
              <w:rPr>
                <w:rFonts w:asciiTheme="minorHAnsi" w:hAnsiTheme="minorHAnsi"/>
              </w:rPr>
            </w:pPr>
            <w:r w:rsidRPr="004943B2">
              <w:rPr>
                <w:rFonts w:asciiTheme="minorHAnsi" w:hAnsiTheme="minorHAnsi"/>
                <w:b/>
                <w:sz w:val="18"/>
              </w:rPr>
              <w:t>37</w:t>
            </w:r>
          </w:p>
        </w:tc>
        <w:tc>
          <w:tcPr>
            <w:tcW w:w="850" w:type="dxa"/>
          </w:tcPr>
          <w:p w14:paraId="2C0FECD1"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1.2</w:t>
            </w:r>
          </w:p>
        </w:tc>
        <w:tc>
          <w:tcPr>
            <w:tcW w:w="5669" w:type="dxa"/>
          </w:tcPr>
          <w:p w14:paraId="79FCDC4C" w14:textId="77777777" w:rsidR="00B84943" w:rsidRPr="004943B2" w:rsidRDefault="00B84943" w:rsidP="00CF1612">
            <w:pPr>
              <w:spacing w:before="40" w:after="40"/>
              <w:rPr>
                <w:rFonts w:asciiTheme="minorHAnsi" w:hAnsiTheme="minorHAnsi"/>
              </w:rPr>
            </w:pPr>
            <w:r w:rsidRPr="004943B2">
              <w:rPr>
                <w:rFonts w:asciiTheme="minorHAnsi" w:hAnsiTheme="minorHAnsi"/>
              </w:rPr>
              <w:t xml:space="preserve">Any </w:t>
            </w:r>
            <w:r w:rsidRPr="004943B2">
              <w:rPr>
                <w:rFonts w:asciiTheme="minorHAnsi" w:hAnsiTheme="minorHAnsi"/>
                <w:b/>
                <w:bCs/>
              </w:rPr>
              <w:t>charge</w:t>
            </w:r>
            <w:r w:rsidRPr="004943B2">
              <w:rPr>
                <w:rFonts w:asciiTheme="minorHAnsi" w:hAnsiTheme="minorHAnsi"/>
              </w:rPr>
              <w:t xml:space="preserve"> imposed by or under an Act to secure an amount due under that Act is disclosed, with the amount owing and the particulars of payment.</w:t>
            </w:r>
          </w:p>
        </w:tc>
        <w:tc>
          <w:tcPr>
            <w:tcW w:w="850" w:type="dxa"/>
          </w:tcPr>
          <w:p w14:paraId="749C4FA9"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E25</w:t>
            </w:r>
          </w:p>
        </w:tc>
        <w:tc>
          <w:tcPr>
            <w:tcW w:w="1928" w:type="dxa"/>
          </w:tcPr>
          <w:p w14:paraId="2BA8F092"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0B21D35B"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2BB5F405"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7E5F32DD"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70D1C774" w14:textId="77777777" w:rsidTr="003D45F0">
        <w:trPr>
          <w:cantSplit/>
        </w:trPr>
        <w:tc>
          <w:tcPr>
            <w:tcW w:w="567" w:type="dxa"/>
          </w:tcPr>
          <w:p w14:paraId="1FDD6DAD" w14:textId="18414A5B" w:rsidR="00B84943" w:rsidRPr="004943B2" w:rsidRDefault="000560BB" w:rsidP="00CF1612">
            <w:pPr>
              <w:spacing w:before="40" w:after="40"/>
              <w:rPr>
                <w:rFonts w:asciiTheme="minorHAnsi" w:hAnsiTheme="minorHAnsi"/>
              </w:rPr>
            </w:pPr>
            <w:r w:rsidRPr="004943B2">
              <w:rPr>
                <w:rFonts w:asciiTheme="minorHAnsi" w:hAnsiTheme="minorHAnsi"/>
                <w:b/>
                <w:sz w:val="18"/>
              </w:rPr>
              <w:t>38</w:t>
            </w:r>
          </w:p>
        </w:tc>
        <w:tc>
          <w:tcPr>
            <w:tcW w:w="850" w:type="dxa"/>
          </w:tcPr>
          <w:p w14:paraId="0CC5526E"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1.3</w:t>
            </w:r>
          </w:p>
        </w:tc>
        <w:tc>
          <w:tcPr>
            <w:tcW w:w="5669" w:type="dxa"/>
          </w:tcPr>
          <w:p w14:paraId="08F7EB81" w14:textId="152BD18C" w:rsidR="00B84943" w:rsidRPr="004943B2" w:rsidRDefault="00B84943" w:rsidP="00CF1612">
            <w:pPr>
              <w:spacing w:before="40" w:after="40"/>
              <w:rPr>
                <w:rFonts w:asciiTheme="minorHAnsi" w:hAnsiTheme="minorHAnsi"/>
              </w:rPr>
            </w:pPr>
            <w:r w:rsidRPr="004943B2">
              <w:rPr>
                <w:rFonts w:asciiTheme="minorHAnsi" w:hAnsiTheme="minorHAnsi"/>
              </w:rPr>
              <w:t xml:space="preserve">Where the contract is a </w:t>
            </w:r>
            <w:r w:rsidRPr="004943B2">
              <w:rPr>
                <w:rFonts w:asciiTheme="minorHAnsi" w:hAnsiTheme="minorHAnsi"/>
                <w:b/>
                <w:bCs/>
              </w:rPr>
              <w:t>terms contract</w:t>
            </w:r>
            <w:r w:rsidRPr="004943B2">
              <w:rPr>
                <w:rFonts w:asciiTheme="minorHAnsi" w:hAnsiTheme="minorHAnsi"/>
              </w:rPr>
              <w:t xml:space="preserve">, section 1.3 is completed and </w:t>
            </w:r>
            <w:proofErr w:type="gramStart"/>
            <w:r w:rsidRPr="004943B2">
              <w:rPr>
                <w:rFonts w:asciiTheme="minorHAnsi" w:hAnsiTheme="minorHAnsi"/>
              </w:rPr>
              <w:t>that Schedule</w:t>
            </w:r>
            <w:proofErr w:type="gramEnd"/>
            <w:r w:rsidRPr="004943B2">
              <w:rPr>
                <w:rFonts w:asciiTheme="minorHAnsi" w:hAnsiTheme="minorHAnsi"/>
              </w:rPr>
              <w:t xml:space="preserve"> 2 of the Sale of Land Act is completed and attached (which is incorporated in the LIV Additional </w:t>
            </w:r>
            <w:r w:rsidR="00C45531">
              <w:rPr>
                <w:rFonts w:asciiTheme="minorHAnsi" w:hAnsiTheme="minorHAnsi"/>
              </w:rPr>
              <w:t xml:space="preserve">Vendor </w:t>
            </w:r>
            <w:r w:rsidRPr="004943B2">
              <w:rPr>
                <w:rFonts w:asciiTheme="minorHAnsi" w:hAnsiTheme="minorHAnsi"/>
              </w:rPr>
              <w:t xml:space="preserve">Statement). Only if selling under </w:t>
            </w:r>
            <w:proofErr w:type="gramStart"/>
            <w:r w:rsidRPr="004943B2">
              <w:rPr>
                <w:rFonts w:asciiTheme="minorHAnsi" w:hAnsiTheme="minorHAnsi"/>
              </w:rPr>
              <w:t>a terms</w:t>
            </w:r>
            <w:proofErr w:type="gramEnd"/>
            <w:r w:rsidRPr="004943B2">
              <w:rPr>
                <w:rFonts w:asciiTheme="minorHAnsi" w:hAnsiTheme="minorHAnsi"/>
              </w:rPr>
              <w:t xml:space="preserve"> contract where there are multiple instalments.</w:t>
            </w:r>
          </w:p>
        </w:tc>
        <w:tc>
          <w:tcPr>
            <w:tcW w:w="850" w:type="dxa"/>
          </w:tcPr>
          <w:p w14:paraId="2A12676A"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E15</w:t>
            </w:r>
          </w:p>
        </w:tc>
        <w:tc>
          <w:tcPr>
            <w:tcW w:w="1928" w:type="dxa"/>
          </w:tcPr>
          <w:p w14:paraId="1F162626"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2FC25513"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4D468880"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25EF8519"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22BEC3A4" w14:textId="77777777" w:rsidTr="003D45F0">
        <w:trPr>
          <w:cantSplit/>
        </w:trPr>
        <w:tc>
          <w:tcPr>
            <w:tcW w:w="567" w:type="dxa"/>
          </w:tcPr>
          <w:p w14:paraId="3ADD8FE6" w14:textId="1BCE45B9" w:rsidR="00B84943" w:rsidRPr="004943B2" w:rsidRDefault="000560BB" w:rsidP="00CF1612">
            <w:pPr>
              <w:spacing w:before="40" w:after="40"/>
              <w:rPr>
                <w:rFonts w:asciiTheme="minorHAnsi" w:hAnsiTheme="minorHAnsi"/>
              </w:rPr>
            </w:pPr>
            <w:r w:rsidRPr="004943B2">
              <w:rPr>
                <w:rFonts w:asciiTheme="minorHAnsi" w:hAnsiTheme="minorHAnsi"/>
                <w:b/>
                <w:sz w:val="18"/>
              </w:rPr>
              <w:t>39</w:t>
            </w:r>
          </w:p>
        </w:tc>
        <w:tc>
          <w:tcPr>
            <w:tcW w:w="850" w:type="dxa"/>
          </w:tcPr>
          <w:p w14:paraId="60E62D9D"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1.4</w:t>
            </w:r>
          </w:p>
        </w:tc>
        <w:tc>
          <w:tcPr>
            <w:tcW w:w="5669" w:type="dxa"/>
          </w:tcPr>
          <w:p w14:paraId="7970CFAD" w14:textId="4D12ACA5" w:rsidR="00B84943" w:rsidRPr="004943B2" w:rsidRDefault="00B84943" w:rsidP="00CF1612">
            <w:pPr>
              <w:spacing w:before="40" w:after="40"/>
              <w:rPr>
                <w:rFonts w:asciiTheme="minorHAnsi" w:hAnsiTheme="minorHAnsi"/>
              </w:rPr>
            </w:pPr>
            <w:r w:rsidRPr="004943B2">
              <w:rPr>
                <w:rFonts w:asciiTheme="minorHAnsi" w:hAnsiTheme="minorHAnsi"/>
              </w:rPr>
              <w:t xml:space="preserve">Where a mortgage is not to be discharged before the purchaser becomes entitled to possession or to receipt of rents and profits, section 1.4 is completed and Schedule 1 of the Sale of Land Act is completed and attached (which is incorporated in the LIV Additional Statement). Note: this can apply to a terms contract </w:t>
            </w:r>
            <w:r w:rsidR="007F3DE4" w:rsidRPr="004943B2">
              <w:rPr>
                <w:rFonts w:asciiTheme="minorHAnsi" w:hAnsiTheme="minorHAnsi"/>
              </w:rPr>
              <w:t>scenario.</w:t>
            </w:r>
          </w:p>
        </w:tc>
        <w:tc>
          <w:tcPr>
            <w:tcW w:w="850" w:type="dxa"/>
          </w:tcPr>
          <w:p w14:paraId="77DC1269"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E15</w:t>
            </w:r>
          </w:p>
        </w:tc>
        <w:tc>
          <w:tcPr>
            <w:tcW w:w="1928" w:type="dxa"/>
          </w:tcPr>
          <w:p w14:paraId="50BB3C02"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39F9E7ED"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434348B6"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07495140"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EF719A" w:rsidRPr="004943B2" w14:paraId="70E9D2E3" w14:textId="77777777" w:rsidTr="007110B7">
        <w:trPr>
          <w:cantSplit/>
        </w:trPr>
        <w:tc>
          <w:tcPr>
            <w:tcW w:w="567" w:type="dxa"/>
          </w:tcPr>
          <w:p w14:paraId="6F298055" w14:textId="53559AAE" w:rsidR="00EF719A" w:rsidRPr="004943B2" w:rsidRDefault="000560BB" w:rsidP="00EF719A">
            <w:pPr>
              <w:spacing w:before="40" w:after="40"/>
              <w:rPr>
                <w:rFonts w:asciiTheme="minorHAnsi" w:hAnsiTheme="minorHAnsi"/>
                <w:b/>
                <w:bCs/>
                <w:sz w:val="18"/>
                <w:szCs w:val="18"/>
              </w:rPr>
            </w:pPr>
            <w:r w:rsidRPr="004943B2">
              <w:rPr>
                <w:rFonts w:asciiTheme="minorHAnsi" w:hAnsiTheme="minorHAnsi"/>
                <w:b/>
                <w:bCs/>
              </w:rPr>
              <w:t>40</w:t>
            </w:r>
          </w:p>
        </w:tc>
        <w:tc>
          <w:tcPr>
            <w:tcW w:w="850" w:type="dxa"/>
          </w:tcPr>
          <w:p w14:paraId="262D2F72" w14:textId="163ACBDD" w:rsidR="00EF719A" w:rsidRPr="004943B2" w:rsidRDefault="00EF719A" w:rsidP="00EF719A">
            <w:pPr>
              <w:spacing w:before="40" w:after="40"/>
              <w:rPr>
                <w:rFonts w:asciiTheme="minorHAnsi" w:hAnsiTheme="minorHAnsi"/>
                <w:i/>
                <w:sz w:val="17"/>
                <w:szCs w:val="17"/>
              </w:rPr>
            </w:pPr>
            <w:r w:rsidRPr="004943B2">
              <w:rPr>
                <w:rFonts w:asciiTheme="minorHAnsi" w:hAnsiTheme="minorHAnsi"/>
                <w:i/>
                <w:sz w:val="17"/>
                <w:szCs w:val="17"/>
              </w:rPr>
              <w:t>1.5</w:t>
            </w:r>
          </w:p>
        </w:tc>
        <w:tc>
          <w:tcPr>
            <w:tcW w:w="5669" w:type="dxa"/>
          </w:tcPr>
          <w:p w14:paraId="2E81F7EA" w14:textId="56893F10" w:rsidR="00EF719A" w:rsidRPr="004943B2" w:rsidRDefault="004B6465" w:rsidP="00EF719A">
            <w:pPr>
              <w:spacing w:before="40" w:after="40"/>
              <w:rPr>
                <w:rFonts w:asciiTheme="minorHAnsi" w:hAnsiTheme="minorHAnsi"/>
              </w:rPr>
            </w:pPr>
            <w:r w:rsidRPr="004943B2">
              <w:rPr>
                <w:rFonts w:asciiTheme="minorHAnsi" w:hAnsiTheme="minorHAnsi"/>
              </w:rPr>
              <w:t xml:space="preserve">CIPT details are correctly disclosed for any type of property (including residential, farming and mixed used), including the </w:t>
            </w:r>
            <w:r w:rsidRPr="004943B2">
              <w:rPr>
                <w:rFonts w:asciiTheme="minorHAnsi" w:hAnsiTheme="minorHAnsi"/>
                <w:b/>
                <w:bCs/>
              </w:rPr>
              <w:t>AVPCC code</w:t>
            </w:r>
            <w:r w:rsidRPr="004943B2">
              <w:rPr>
                <w:rFonts w:asciiTheme="minorHAnsi" w:hAnsiTheme="minorHAnsi"/>
              </w:rPr>
              <w:t>.</w:t>
            </w:r>
          </w:p>
        </w:tc>
        <w:tc>
          <w:tcPr>
            <w:tcW w:w="850" w:type="dxa"/>
          </w:tcPr>
          <w:p w14:paraId="4B109B22" w14:textId="1ADD037F" w:rsidR="00EF719A" w:rsidRPr="004943B2" w:rsidRDefault="00EF719A" w:rsidP="00EF719A">
            <w:pPr>
              <w:spacing w:before="40" w:after="40"/>
              <w:rPr>
                <w:rFonts w:asciiTheme="minorHAnsi" w:hAnsiTheme="minorHAnsi"/>
                <w:sz w:val="17"/>
                <w:szCs w:val="17"/>
              </w:rPr>
            </w:pPr>
            <w:r w:rsidRPr="004943B2">
              <w:rPr>
                <w:rFonts w:asciiTheme="minorHAnsi" w:hAnsiTheme="minorHAnsi"/>
                <w:sz w:val="17"/>
                <w:szCs w:val="17"/>
              </w:rPr>
              <w:t>E25</w:t>
            </w:r>
          </w:p>
        </w:tc>
        <w:tc>
          <w:tcPr>
            <w:tcW w:w="1928" w:type="dxa"/>
          </w:tcPr>
          <w:p w14:paraId="2BDBCD85" w14:textId="77777777" w:rsidR="00EF719A" w:rsidRPr="004943B2" w:rsidRDefault="00EF719A" w:rsidP="00EF719A">
            <w:pPr>
              <w:spacing w:after="0"/>
              <w:rPr>
                <w:rFonts w:asciiTheme="minorHAnsi" w:hAnsiTheme="minorHAnsi"/>
              </w:rPr>
            </w:pPr>
            <w:r w:rsidRPr="004943B2">
              <w:rPr>
                <w:rFonts w:asciiTheme="minorHAnsi" w:hAnsiTheme="minorHAnsi"/>
                <w:sz w:val="18"/>
                <w:szCs w:val="18"/>
              </w:rPr>
              <w:t xml:space="preserve">Done  </w:t>
            </w:r>
            <w:r w:rsidRPr="004943B2">
              <w:rPr>
                <w:rFonts w:asciiTheme="minorHAnsi" w:hAnsiTheme="minorHAnsi" w:cs="Segoe UI Symbol"/>
                <w:sz w:val="18"/>
                <w:szCs w:val="18"/>
              </w:rPr>
              <w:t>☐</w:t>
            </w:r>
          </w:p>
          <w:p w14:paraId="2A682B81" w14:textId="77777777" w:rsidR="00EF719A" w:rsidRPr="004943B2" w:rsidRDefault="00EF719A" w:rsidP="00EF719A">
            <w:pPr>
              <w:spacing w:after="0"/>
              <w:rPr>
                <w:rFonts w:asciiTheme="minorHAnsi" w:hAnsiTheme="minorHAnsi"/>
              </w:rPr>
            </w:pPr>
            <w:r w:rsidRPr="004943B2">
              <w:rPr>
                <w:rFonts w:asciiTheme="minorHAnsi" w:hAnsiTheme="minorHAnsi"/>
                <w:sz w:val="18"/>
                <w:szCs w:val="18"/>
              </w:rPr>
              <w:t xml:space="preserve">N/A  </w:t>
            </w:r>
            <w:r w:rsidRPr="004943B2">
              <w:rPr>
                <w:rFonts w:asciiTheme="minorHAnsi" w:hAnsiTheme="minorHAnsi" w:cs="Segoe UI Symbol"/>
                <w:sz w:val="18"/>
                <w:szCs w:val="18"/>
              </w:rPr>
              <w:t>☐</w:t>
            </w:r>
          </w:p>
          <w:p w14:paraId="7959B293" w14:textId="77777777" w:rsidR="00EF719A" w:rsidRPr="004943B2" w:rsidRDefault="00EF719A" w:rsidP="00EF719A">
            <w:pPr>
              <w:spacing w:after="0"/>
              <w:rPr>
                <w:rFonts w:asciiTheme="minorHAnsi" w:hAnsiTheme="minorHAnsi"/>
              </w:rPr>
            </w:pPr>
            <w:r w:rsidRPr="004943B2">
              <w:rPr>
                <w:rFonts w:asciiTheme="minorHAnsi" w:hAnsiTheme="minorHAnsi"/>
                <w:sz w:val="18"/>
                <w:szCs w:val="18"/>
              </w:rPr>
              <w:t xml:space="preserve">Follow up  </w:t>
            </w:r>
            <w:r w:rsidRPr="004943B2">
              <w:rPr>
                <w:rFonts w:asciiTheme="minorHAnsi" w:hAnsiTheme="minorHAnsi" w:cs="Segoe UI Symbol"/>
                <w:sz w:val="18"/>
                <w:szCs w:val="18"/>
              </w:rPr>
              <w:t>☐</w:t>
            </w:r>
          </w:p>
          <w:p w14:paraId="571C39FF" w14:textId="0124B2E2" w:rsidR="00EF719A" w:rsidRPr="004943B2" w:rsidRDefault="00EF719A" w:rsidP="00EF719A">
            <w:pPr>
              <w:spacing w:after="0"/>
              <w:rPr>
                <w:rFonts w:asciiTheme="minorHAnsi" w:hAnsiTheme="minorHAnsi"/>
                <w:sz w:val="18"/>
                <w:szCs w:val="18"/>
              </w:rPr>
            </w:pPr>
            <w:r w:rsidRPr="004943B2">
              <w:rPr>
                <w:rFonts w:asciiTheme="minorHAnsi" w:hAnsiTheme="minorHAnsi"/>
                <w:sz w:val="16"/>
                <w:szCs w:val="16"/>
              </w:rPr>
              <w:t>……………………</w:t>
            </w:r>
          </w:p>
        </w:tc>
      </w:tr>
      <w:tr w:rsidR="00B84943" w:rsidRPr="004943B2" w14:paraId="1EB8E488" w14:textId="77777777" w:rsidTr="003D45F0">
        <w:trPr>
          <w:cantSplit/>
        </w:trPr>
        <w:tc>
          <w:tcPr>
            <w:tcW w:w="9864" w:type="dxa"/>
            <w:gridSpan w:val="5"/>
            <w:shd w:val="clear" w:color="auto" w:fill="E4E8F0"/>
          </w:tcPr>
          <w:p w14:paraId="0B6437AF" w14:textId="1E1EA1F1" w:rsidR="00B84943" w:rsidRPr="004943B2" w:rsidRDefault="00B84943" w:rsidP="00CF1612">
            <w:pPr>
              <w:spacing w:before="40" w:after="40"/>
              <w:rPr>
                <w:rFonts w:asciiTheme="minorHAnsi" w:hAnsiTheme="minorHAnsi"/>
              </w:rPr>
            </w:pPr>
            <w:r w:rsidRPr="004943B2">
              <w:rPr>
                <w:rFonts w:asciiTheme="minorHAnsi" w:hAnsiTheme="minorHAnsi"/>
                <w:b/>
                <w:color w:val="1F3364"/>
                <w:sz w:val="20"/>
              </w:rPr>
              <w:t>Insurance</w:t>
            </w:r>
          </w:p>
        </w:tc>
      </w:tr>
      <w:tr w:rsidR="00B84943" w:rsidRPr="004943B2" w14:paraId="4A23D0AE" w14:textId="77777777" w:rsidTr="003D45F0">
        <w:trPr>
          <w:cantSplit/>
        </w:trPr>
        <w:tc>
          <w:tcPr>
            <w:tcW w:w="567" w:type="dxa"/>
          </w:tcPr>
          <w:p w14:paraId="3623F279" w14:textId="161BE233" w:rsidR="00B84943" w:rsidRPr="004943B2" w:rsidRDefault="000560BB" w:rsidP="00CF1612">
            <w:pPr>
              <w:spacing w:before="40" w:after="40"/>
              <w:rPr>
                <w:rFonts w:asciiTheme="minorHAnsi" w:hAnsiTheme="minorHAnsi"/>
              </w:rPr>
            </w:pPr>
            <w:r w:rsidRPr="004943B2">
              <w:rPr>
                <w:rFonts w:asciiTheme="minorHAnsi" w:hAnsiTheme="minorHAnsi"/>
                <w:b/>
                <w:sz w:val="18"/>
              </w:rPr>
              <w:t>41</w:t>
            </w:r>
          </w:p>
        </w:tc>
        <w:tc>
          <w:tcPr>
            <w:tcW w:w="850" w:type="dxa"/>
          </w:tcPr>
          <w:p w14:paraId="1C19E739"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2.1</w:t>
            </w:r>
          </w:p>
        </w:tc>
        <w:tc>
          <w:tcPr>
            <w:tcW w:w="5669" w:type="dxa"/>
          </w:tcPr>
          <w:p w14:paraId="28C83253" w14:textId="0ACC2D89" w:rsidR="00B84943" w:rsidRPr="004943B2" w:rsidRDefault="00B84943" w:rsidP="00CF1612">
            <w:pPr>
              <w:spacing w:before="40" w:after="40"/>
              <w:rPr>
                <w:rFonts w:asciiTheme="minorHAnsi" w:hAnsiTheme="minorHAnsi"/>
              </w:rPr>
            </w:pPr>
            <w:r w:rsidRPr="004943B2">
              <w:rPr>
                <w:rFonts w:asciiTheme="minorHAnsi" w:hAnsiTheme="minorHAnsi"/>
              </w:rPr>
              <w:t>Where the contract does not provide for the land to remain at the vendor’s risk until the purchaser becomes entitled to possession or receipt of rents and profits, section 2.1 is completed. Note: rare.</w:t>
            </w:r>
          </w:p>
        </w:tc>
        <w:tc>
          <w:tcPr>
            <w:tcW w:w="850" w:type="dxa"/>
          </w:tcPr>
          <w:p w14:paraId="233F71F8" w14:textId="55FB88B5" w:rsidR="00B84943" w:rsidRPr="004943B2" w:rsidRDefault="00B84943" w:rsidP="00CF1612">
            <w:pPr>
              <w:spacing w:before="40" w:after="40"/>
              <w:rPr>
                <w:rFonts w:asciiTheme="minorHAnsi" w:hAnsiTheme="minorHAnsi"/>
              </w:rPr>
            </w:pPr>
            <w:r w:rsidRPr="004943B2">
              <w:rPr>
                <w:rFonts w:asciiTheme="minorHAnsi" w:hAnsiTheme="minorHAnsi"/>
                <w:sz w:val="17"/>
              </w:rPr>
              <w:t>E26</w:t>
            </w:r>
          </w:p>
        </w:tc>
        <w:tc>
          <w:tcPr>
            <w:tcW w:w="1928" w:type="dxa"/>
          </w:tcPr>
          <w:p w14:paraId="54040C70"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3A5DFA42"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42567A16"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0A967C1B"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1548D652" w14:textId="77777777" w:rsidTr="003D45F0">
        <w:trPr>
          <w:cantSplit/>
        </w:trPr>
        <w:tc>
          <w:tcPr>
            <w:tcW w:w="9864" w:type="dxa"/>
            <w:gridSpan w:val="5"/>
            <w:shd w:val="clear" w:color="auto" w:fill="EDE3D2"/>
          </w:tcPr>
          <w:p w14:paraId="5B0977E1" w14:textId="77777777" w:rsidR="00B84943" w:rsidRPr="004943B2" w:rsidRDefault="00B84943" w:rsidP="00CF1612">
            <w:pPr>
              <w:spacing w:before="40" w:after="40"/>
              <w:rPr>
                <w:rFonts w:asciiTheme="minorHAnsi" w:hAnsiTheme="minorHAnsi"/>
              </w:rPr>
            </w:pPr>
            <w:r w:rsidRPr="004943B2">
              <w:rPr>
                <w:rFonts w:asciiTheme="minorHAnsi" w:hAnsiTheme="minorHAnsi"/>
                <w:b/>
                <w:i/>
                <w:sz w:val="18"/>
              </w:rPr>
              <w:t>Only if: owner-builder works</w:t>
            </w:r>
          </w:p>
        </w:tc>
      </w:tr>
      <w:tr w:rsidR="00B84943" w:rsidRPr="004943B2" w14:paraId="1D6258A3" w14:textId="77777777" w:rsidTr="003D45F0">
        <w:trPr>
          <w:cantSplit/>
        </w:trPr>
        <w:tc>
          <w:tcPr>
            <w:tcW w:w="567" w:type="dxa"/>
          </w:tcPr>
          <w:p w14:paraId="2652CAA1" w14:textId="46C181F6" w:rsidR="00B84943" w:rsidRPr="004943B2" w:rsidRDefault="00B84943" w:rsidP="00CF1612">
            <w:pPr>
              <w:spacing w:before="40" w:after="40"/>
              <w:rPr>
                <w:rFonts w:asciiTheme="minorHAnsi" w:hAnsiTheme="minorHAnsi"/>
              </w:rPr>
            </w:pPr>
            <w:r w:rsidRPr="004943B2">
              <w:rPr>
                <w:rFonts w:asciiTheme="minorHAnsi" w:hAnsiTheme="minorHAnsi"/>
                <w:b/>
                <w:sz w:val="18"/>
              </w:rPr>
              <w:t>4</w:t>
            </w:r>
            <w:r w:rsidR="000560BB" w:rsidRPr="004943B2">
              <w:rPr>
                <w:rFonts w:asciiTheme="minorHAnsi" w:hAnsiTheme="minorHAnsi"/>
                <w:b/>
                <w:sz w:val="18"/>
              </w:rPr>
              <w:t>2</w:t>
            </w:r>
          </w:p>
        </w:tc>
        <w:tc>
          <w:tcPr>
            <w:tcW w:w="850" w:type="dxa"/>
          </w:tcPr>
          <w:p w14:paraId="513436DD"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2.2</w:t>
            </w:r>
          </w:p>
        </w:tc>
        <w:tc>
          <w:tcPr>
            <w:tcW w:w="5669" w:type="dxa"/>
          </w:tcPr>
          <w:p w14:paraId="5B2994D9" w14:textId="3BCF4E7A" w:rsidR="00B84943" w:rsidRPr="004943B2" w:rsidRDefault="00B84943" w:rsidP="00CF1612">
            <w:pPr>
              <w:spacing w:before="40" w:after="40"/>
              <w:rPr>
                <w:rFonts w:asciiTheme="minorHAnsi" w:hAnsiTheme="minorHAnsi"/>
              </w:rPr>
            </w:pPr>
            <w:r w:rsidRPr="004943B2">
              <w:rPr>
                <w:rFonts w:asciiTheme="minorHAnsi" w:hAnsiTheme="minorHAnsi"/>
              </w:rPr>
              <w:t xml:space="preserve">Whether the vendor carried out </w:t>
            </w:r>
            <w:r w:rsidRPr="004943B2">
              <w:rPr>
                <w:rFonts w:asciiTheme="minorHAnsi" w:hAnsiTheme="minorHAnsi"/>
                <w:b/>
                <w:bCs/>
              </w:rPr>
              <w:t>owner-</w:t>
            </w:r>
            <w:proofErr w:type="gramStart"/>
            <w:r w:rsidRPr="004943B2">
              <w:rPr>
                <w:rFonts w:asciiTheme="minorHAnsi" w:hAnsiTheme="minorHAnsi"/>
                <w:b/>
                <w:bCs/>
              </w:rPr>
              <w:t>builder</w:t>
            </w:r>
            <w:proofErr w:type="gramEnd"/>
            <w:r w:rsidRPr="004943B2">
              <w:rPr>
                <w:rFonts w:asciiTheme="minorHAnsi" w:hAnsiTheme="minorHAnsi"/>
                <w:b/>
                <w:bCs/>
              </w:rPr>
              <w:t xml:space="preserve"> </w:t>
            </w:r>
            <w:proofErr w:type="gramStart"/>
            <w:r w:rsidRPr="004943B2">
              <w:rPr>
                <w:rFonts w:asciiTheme="minorHAnsi" w:hAnsiTheme="minorHAnsi"/>
                <w:b/>
                <w:bCs/>
              </w:rPr>
              <w:t>works</w:t>
            </w:r>
            <w:proofErr w:type="gramEnd"/>
            <w:r w:rsidRPr="004943B2">
              <w:rPr>
                <w:rFonts w:asciiTheme="minorHAnsi" w:hAnsiTheme="minorHAnsi"/>
              </w:rPr>
              <w:t xml:space="preserve"> within the </w:t>
            </w:r>
            <w:r w:rsidR="003D6A1E" w:rsidRPr="004943B2">
              <w:rPr>
                <w:rFonts w:asciiTheme="minorHAnsi" w:hAnsiTheme="minorHAnsi"/>
              </w:rPr>
              <w:t>‘</w:t>
            </w:r>
            <w:r w:rsidRPr="004943B2">
              <w:rPr>
                <w:rFonts w:asciiTheme="minorHAnsi" w:hAnsiTheme="minorHAnsi"/>
              </w:rPr>
              <w:t>prescribed period</w:t>
            </w:r>
            <w:r w:rsidR="003D6A1E" w:rsidRPr="004943B2">
              <w:rPr>
                <w:rFonts w:asciiTheme="minorHAnsi" w:hAnsiTheme="minorHAnsi"/>
              </w:rPr>
              <w:t>’</w:t>
            </w:r>
            <w:r w:rsidRPr="004943B2">
              <w:rPr>
                <w:rFonts w:asciiTheme="minorHAnsi" w:hAnsiTheme="minorHAnsi"/>
              </w:rPr>
              <w:t xml:space="preserve">, and whether the sale is within six years of the </w:t>
            </w:r>
            <w:r w:rsidR="003D6A1E" w:rsidRPr="004943B2">
              <w:rPr>
                <w:rFonts w:asciiTheme="minorHAnsi" w:hAnsiTheme="minorHAnsi"/>
              </w:rPr>
              <w:t>‘</w:t>
            </w:r>
            <w:r w:rsidRPr="004943B2">
              <w:rPr>
                <w:rFonts w:asciiTheme="minorHAnsi" w:hAnsiTheme="minorHAnsi"/>
              </w:rPr>
              <w:t>completion date</w:t>
            </w:r>
            <w:r w:rsidR="003D6A1E" w:rsidRPr="004943B2">
              <w:rPr>
                <w:rFonts w:asciiTheme="minorHAnsi" w:hAnsiTheme="minorHAnsi"/>
              </w:rPr>
              <w:t>’</w:t>
            </w:r>
            <w:r w:rsidRPr="004943B2">
              <w:rPr>
                <w:rFonts w:asciiTheme="minorHAnsi" w:hAnsiTheme="minorHAnsi"/>
              </w:rPr>
              <w:t>, has been confirmed against the client’s instructions.</w:t>
            </w:r>
          </w:p>
        </w:tc>
        <w:tc>
          <w:tcPr>
            <w:tcW w:w="850" w:type="dxa"/>
          </w:tcPr>
          <w:p w14:paraId="65403D7E" w14:textId="37ED199B" w:rsidR="00B84943" w:rsidRPr="004943B2" w:rsidRDefault="00B84943" w:rsidP="00CF1612">
            <w:pPr>
              <w:spacing w:before="40" w:after="40"/>
              <w:rPr>
                <w:rFonts w:asciiTheme="minorHAnsi" w:hAnsiTheme="minorHAnsi"/>
              </w:rPr>
            </w:pPr>
            <w:r w:rsidRPr="004943B2">
              <w:rPr>
                <w:rFonts w:asciiTheme="minorHAnsi" w:hAnsiTheme="minorHAnsi"/>
                <w:sz w:val="17"/>
              </w:rPr>
              <w:t>E27</w:t>
            </w:r>
          </w:p>
        </w:tc>
        <w:tc>
          <w:tcPr>
            <w:tcW w:w="1928" w:type="dxa"/>
          </w:tcPr>
          <w:p w14:paraId="6C8403DB"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1F94D6C8"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2C0071A0"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2813DF18"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019D0B3C" w14:textId="77777777" w:rsidTr="003D45F0">
        <w:trPr>
          <w:cantSplit/>
        </w:trPr>
        <w:tc>
          <w:tcPr>
            <w:tcW w:w="567" w:type="dxa"/>
          </w:tcPr>
          <w:p w14:paraId="60EF328A" w14:textId="08A3A67E" w:rsidR="00B84943" w:rsidRPr="004943B2" w:rsidRDefault="00B84943" w:rsidP="00CF1612">
            <w:pPr>
              <w:spacing w:before="40" w:after="40"/>
              <w:rPr>
                <w:rFonts w:asciiTheme="minorHAnsi" w:hAnsiTheme="minorHAnsi"/>
              </w:rPr>
            </w:pPr>
            <w:r w:rsidRPr="004943B2">
              <w:rPr>
                <w:rFonts w:asciiTheme="minorHAnsi" w:hAnsiTheme="minorHAnsi"/>
                <w:b/>
                <w:sz w:val="18"/>
              </w:rPr>
              <w:t>4</w:t>
            </w:r>
            <w:r w:rsidR="000560BB" w:rsidRPr="004943B2">
              <w:rPr>
                <w:rFonts w:asciiTheme="minorHAnsi" w:hAnsiTheme="minorHAnsi"/>
                <w:b/>
                <w:sz w:val="18"/>
              </w:rPr>
              <w:t>3</w:t>
            </w:r>
          </w:p>
        </w:tc>
        <w:tc>
          <w:tcPr>
            <w:tcW w:w="850" w:type="dxa"/>
          </w:tcPr>
          <w:p w14:paraId="5372C35B" w14:textId="6CBA4802" w:rsidR="00B84943" w:rsidRPr="004943B2" w:rsidRDefault="00F017F0" w:rsidP="00CF1612">
            <w:pPr>
              <w:spacing w:before="40" w:after="40"/>
              <w:rPr>
                <w:rFonts w:asciiTheme="minorHAnsi" w:hAnsiTheme="minorHAnsi"/>
                <w:i/>
                <w:sz w:val="17"/>
                <w:szCs w:val="17"/>
              </w:rPr>
            </w:pPr>
            <w:r w:rsidRPr="004943B2">
              <w:rPr>
                <w:rFonts w:asciiTheme="minorHAnsi" w:hAnsiTheme="minorHAnsi"/>
                <w:i/>
                <w:sz w:val="17"/>
                <w:szCs w:val="17"/>
              </w:rPr>
              <w:t>N/</w:t>
            </w:r>
            <w:r w:rsidRPr="004943B2">
              <w:rPr>
                <w:rFonts w:asciiTheme="minorHAnsi" w:hAnsiTheme="minorHAnsi"/>
                <w:i/>
                <w:iCs/>
                <w:sz w:val="17"/>
                <w:szCs w:val="17"/>
              </w:rPr>
              <w:t>A</w:t>
            </w:r>
          </w:p>
        </w:tc>
        <w:tc>
          <w:tcPr>
            <w:tcW w:w="5669" w:type="dxa"/>
          </w:tcPr>
          <w:p w14:paraId="74BD511F" w14:textId="77777777" w:rsidR="00B84943" w:rsidRPr="004943B2" w:rsidRDefault="00B84943" w:rsidP="00CF1612">
            <w:pPr>
              <w:spacing w:before="40" w:after="40"/>
              <w:rPr>
                <w:rFonts w:asciiTheme="minorHAnsi" w:hAnsiTheme="minorHAnsi"/>
              </w:rPr>
            </w:pPr>
            <w:r w:rsidRPr="004943B2">
              <w:rPr>
                <w:rFonts w:asciiTheme="minorHAnsi" w:hAnsiTheme="minorHAnsi"/>
              </w:rPr>
              <w:t xml:space="preserve">A valid owner-builder </w:t>
            </w:r>
            <w:r w:rsidRPr="004943B2">
              <w:rPr>
                <w:rFonts w:asciiTheme="minorHAnsi" w:hAnsiTheme="minorHAnsi"/>
                <w:b/>
                <w:bCs/>
              </w:rPr>
              <w:t>condition report</w:t>
            </w:r>
            <w:r w:rsidRPr="004943B2">
              <w:rPr>
                <w:rFonts w:asciiTheme="minorHAnsi" w:hAnsiTheme="minorHAnsi"/>
              </w:rPr>
              <w:t xml:space="preserve"> has been obtained and annexed.</w:t>
            </w:r>
          </w:p>
        </w:tc>
        <w:tc>
          <w:tcPr>
            <w:tcW w:w="850" w:type="dxa"/>
          </w:tcPr>
          <w:p w14:paraId="1DDE1504" w14:textId="6C7037BC" w:rsidR="00B84943" w:rsidRPr="004943B2" w:rsidRDefault="00B84943" w:rsidP="00CF1612">
            <w:pPr>
              <w:spacing w:before="40" w:after="40"/>
              <w:rPr>
                <w:rFonts w:asciiTheme="minorHAnsi" w:hAnsiTheme="minorHAnsi"/>
              </w:rPr>
            </w:pPr>
            <w:r w:rsidRPr="004943B2">
              <w:rPr>
                <w:rFonts w:asciiTheme="minorHAnsi" w:hAnsiTheme="minorHAnsi"/>
                <w:sz w:val="17"/>
              </w:rPr>
              <w:t>E27</w:t>
            </w:r>
          </w:p>
        </w:tc>
        <w:tc>
          <w:tcPr>
            <w:tcW w:w="1928" w:type="dxa"/>
          </w:tcPr>
          <w:p w14:paraId="6BD8EC94"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7BF8D775"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146EA0B6"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73182DAC"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790D5CB4" w14:textId="77777777" w:rsidTr="003D45F0">
        <w:trPr>
          <w:cantSplit/>
        </w:trPr>
        <w:tc>
          <w:tcPr>
            <w:tcW w:w="567" w:type="dxa"/>
          </w:tcPr>
          <w:p w14:paraId="00C4B812" w14:textId="0936E760" w:rsidR="00B84943" w:rsidRPr="004943B2" w:rsidRDefault="00B84943" w:rsidP="00CF1612">
            <w:pPr>
              <w:spacing w:before="40" w:after="40"/>
              <w:rPr>
                <w:rFonts w:asciiTheme="minorHAnsi" w:hAnsiTheme="minorHAnsi"/>
              </w:rPr>
            </w:pPr>
            <w:r w:rsidRPr="004943B2">
              <w:rPr>
                <w:rFonts w:asciiTheme="minorHAnsi" w:hAnsiTheme="minorHAnsi"/>
                <w:b/>
                <w:sz w:val="18"/>
              </w:rPr>
              <w:t>4</w:t>
            </w:r>
            <w:r w:rsidR="000560BB" w:rsidRPr="004943B2">
              <w:rPr>
                <w:rFonts w:asciiTheme="minorHAnsi" w:hAnsiTheme="minorHAnsi"/>
                <w:b/>
                <w:sz w:val="18"/>
              </w:rPr>
              <w:t>4</w:t>
            </w:r>
          </w:p>
        </w:tc>
        <w:tc>
          <w:tcPr>
            <w:tcW w:w="850" w:type="dxa"/>
          </w:tcPr>
          <w:p w14:paraId="15D631A8"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2.2</w:t>
            </w:r>
          </w:p>
        </w:tc>
        <w:tc>
          <w:tcPr>
            <w:tcW w:w="5669" w:type="dxa"/>
          </w:tcPr>
          <w:p w14:paraId="553BB1F6" w14:textId="1964C17E" w:rsidR="00B84943" w:rsidRPr="004943B2" w:rsidRDefault="00B84943" w:rsidP="00CF1612">
            <w:pPr>
              <w:spacing w:before="40" w:after="40"/>
              <w:rPr>
                <w:rFonts w:asciiTheme="minorHAnsi" w:hAnsiTheme="minorHAnsi"/>
              </w:rPr>
            </w:pPr>
            <w:r w:rsidRPr="004943B2">
              <w:rPr>
                <w:rFonts w:asciiTheme="minorHAnsi" w:hAnsiTheme="minorHAnsi"/>
              </w:rPr>
              <w:t xml:space="preserve">Where there is a </w:t>
            </w:r>
            <w:r w:rsidRPr="004943B2">
              <w:rPr>
                <w:rFonts w:asciiTheme="minorHAnsi" w:hAnsiTheme="minorHAnsi"/>
                <w:b/>
                <w:bCs/>
              </w:rPr>
              <w:t>certificate of consent</w:t>
            </w:r>
            <w:r w:rsidRPr="004943B2">
              <w:rPr>
                <w:rFonts w:asciiTheme="minorHAnsi" w:hAnsiTheme="minorHAnsi"/>
              </w:rPr>
              <w:t xml:space="preserve">, the owner-builder statutory insurance scheme </w:t>
            </w:r>
            <w:r w:rsidRPr="004943B2">
              <w:rPr>
                <w:rFonts w:asciiTheme="minorHAnsi" w:hAnsiTheme="minorHAnsi"/>
                <w:b/>
                <w:bCs/>
              </w:rPr>
              <w:t>notice of cover</w:t>
            </w:r>
            <w:r w:rsidRPr="004943B2">
              <w:rPr>
                <w:rFonts w:asciiTheme="minorHAnsi" w:hAnsiTheme="minorHAnsi"/>
              </w:rPr>
              <w:t xml:space="preserve"> has been obtained, disclosed in </w:t>
            </w:r>
            <w:proofErr w:type="gramStart"/>
            <w:r w:rsidRPr="004943B2">
              <w:rPr>
                <w:rFonts w:asciiTheme="minorHAnsi" w:hAnsiTheme="minorHAnsi"/>
              </w:rPr>
              <w:t>the section</w:t>
            </w:r>
            <w:proofErr w:type="gramEnd"/>
            <w:r w:rsidRPr="004943B2">
              <w:rPr>
                <w:rFonts w:asciiTheme="minorHAnsi" w:hAnsiTheme="minorHAnsi"/>
              </w:rPr>
              <w:t xml:space="preserve"> </w:t>
            </w:r>
            <w:proofErr w:type="gramStart"/>
            <w:r w:rsidRPr="004943B2">
              <w:rPr>
                <w:rFonts w:asciiTheme="minorHAnsi" w:hAnsiTheme="minorHAnsi"/>
              </w:rPr>
              <w:t>32 statement</w:t>
            </w:r>
            <w:proofErr w:type="gramEnd"/>
            <w:r w:rsidRPr="004943B2">
              <w:rPr>
                <w:rFonts w:asciiTheme="minorHAnsi" w:hAnsiTheme="minorHAnsi"/>
              </w:rPr>
              <w:t xml:space="preserve"> and annexed.</w:t>
            </w:r>
          </w:p>
        </w:tc>
        <w:tc>
          <w:tcPr>
            <w:tcW w:w="850" w:type="dxa"/>
          </w:tcPr>
          <w:p w14:paraId="6E271733" w14:textId="495FCB0D" w:rsidR="00B84943" w:rsidRPr="004943B2" w:rsidRDefault="00B84943" w:rsidP="00CF1612">
            <w:pPr>
              <w:spacing w:before="40" w:after="40"/>
              <w:rPr>
                <w:rFonts w:asciiTheme="minorHAnsi" w:hAnsiTheme="minorHAnsi"/>
              </w:rPr>
            </w:pPr>
            <w:r w:rsidRPr="004943B2">
              <w:rPr>
                <w:rFonts w:asciiTheme="minorHAnsi" w:hAnsiTheme="minorHAnsi"/>
                <w:sz w:val="17"/>
              </w:rPr>
              <w:t>E27</w:t>
            </w:r>
          </w:p>
        </w:tc>
        <w:tc>
          <w:tcPr>
            <w:tcW w:w="1928" w:type="dxa"/>
          </w:tcPr>
          <w:p w14:paraId="6CB1E62D"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7FD846DA"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272318CD"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087B30D7"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7139AA4B" w14:textId="77777777" w:rsidTr="003D45F0">
        <w:trPr>
          <w:cantSplit/>
        </w:trPr>
        <w:tc>
          <w:tcPr>
            <w:tcW w:w="9864" w:type="dxa"/>
            <w:gridSpan w:val="5"/>
            <w:shd w:val="clear" w:color="auto" w:fill="EDE3D2"/>
          </w:tcPr>
          <w:p w14:paraId="10AA52DD" w14:textId="77777777" w:rsidR="00B84943" w:rsidRPr="004943B2" w:rsidRDefault="00B84943" w:rsidP="00CF1612">
            <w:pPr>
              <w:spacing w:before="40" w:after="40"/>
              <w:rPr>
                <w:rFonts w:asciiTheme="minorHAnsi" w:hAnsiTheme="minorHAnsi"/>
              </w:rPr>
            </w:pPr>
            <w:r w:rsidRPr="004943B2">
              <w:rPr>
                <w:rFonts w:asciiTheme="minorHAnsi" w:hAnsiTheme="minorHAnsi"/>
                <w:b/>
                <w:i/>
                <w:sz w:val="18"/>
              </w:rPr>
              <w:t>End of owner-builder block</w:t>
            </w:r>
          </w:p>
        </w:tc>
      </w:tr>
      <w:tr w:rsidR="00B84943" w:rsidRPr="004943B2" w14:paraId="5AE80EC4" w14:textId="77777777" w:rsidTr="003D45F0">
        <w:trPr>
          <w:cantSplit/>
        </w:trPr>
        <w:tc>
          <w:tcPr>
            <w:tcW w:w="9864" w:type="dxa"/>
            <w:gridSpan w:val="5"/>
            <w:shd w:val="clear" w:color="auto" w:fill="E4E8F0"/>
          </w:tcPr>
          <w:p w14:paraId="4C47006C" w14:textId="1525295A" w:rsidR="00B84943" w:rsidRPr="004943B2" w:rsidRDefault="00B84943" w:rsidP="00CF1612">
            <w:pPr>
              <w:spacing w:before="40" w:after="40"/>
              <w:rPr>
                <w:rFonts w:asciiTheme="minorHAnsi" w:hAnsiTheme="minorHAnsi"/>
              </w:rPr>
            </w:pPr>
            <w:r w:rsidRPr="004943B2">
              <w:rPr>
                <w:rFonts w:asciiTheme="minorHAnsi" w:hAnsiTheme="minorHAnsi"/>
                <w:b/>
                <w:color w:val="1F3364"/>
                <w:sz w:val="20"/>
              </w:rPr>
              <w:lastRenderedPageBreak/>
              <w:t>Land use</w:t>
            </w:r>
          </w:p>
        </w:tc>
      </w:tr>
      <w:tr w:rsidR="00B84943" w:rsidRPr="004943B2" w14:paraId="691FBF15" w14:textId="77777777" w:rsidTr="003D45F0">
        <w:trPr>
          <w:cantSplit/>
        </w:trPr>
        <w:tc>
          <w:tcPr>
            <w:tcW w:w="567" w:type="dxa"/>
          </w:tcPr>
          <w:p w14:paraId="138B65C0" w14:textId="1A56F8D0" w:rsidR="00B84943" w:rsidRPr="004943B2" w:rsidRDefault="001B4BAA" w:rsidP="00CF1612">
            <w:pPr>
              <w:spacing w:before="40" w:after="40"/>
              <w:rPr>
                <w:rFonts w:asciiTheme="minorHAnsi" w:hAnsiTheme="minorHAnsi"/>
              </w:rPr>
            </w:pPr>
            <w:r w:rsidRPr="004943B2">
              <w:rPr>
                <w:rFonts w:asciiTheme="minorHAnsi" w:hAnsiTheme="minorHAnsi"/>
                <w:b/>
                <w:sz w:val="18"/>
              </w:rPr>
              <w:t>45</w:t>
            </w:r>
          </w:p>
        </w:tc>
        <w:tc>
          <w:tcPr>
            <w:tcW w:w="850" w:type="dxa"/>
          </w:tcPr>
          <w:p w14:paraId="65CB237B"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3.1</w:t>
            </w:r>
          </w:p>
        </w:tc>
        <w:tc>
          <w:tcPr>
            <w:tcW w:w="5669" w:type="dxa"/>
          </w:tcPr>
          <w:p w14:paraId="3D1D1062" w14:textId="63A34020" w:rsidR="00B84943" w:rsidRPr="004943B2" w:rsidRDefault="00B84943" w:rsidP="00CF1612">
            <w:pPr>
              <w:spacing w:before="40" w:after="40"/>
              <w:rPr>
                <w:rFonts w:asciiTheme="minorHAnsi" w:hAnsiTheme="minorHAnsi"/>
              </w:rPr>
            </w:pPr>
            <w:r w:rsidRPr="004943B2">
              <w:rPr>
                <w:rFonts w:asciiTheme="minorHAnsi" w:hAnsiTheme="minorHAnsi"/>
              </w:rPr>
              <w:t xml:space="preserve">Every easement, covenant and other similar restriction </w:t>
            </w:r>
            <w:r w:rsidR="00944A62" w:rsidRPr="004943B2">
              <w:rPr>
                <w:rFonts w:asciiTheme="minorHAnsi" w:hAnsiTheme="minorHAnsi"/>
              </w:rPr>
              <w:t xml:space="preserve">or encumbrance </w:t>
            </w:r>
            <w:r w:rsidRPr="004943B2">
              <w:rPr>
                <w:rFonts w:asciiTheme="minorHAnsi" w:hAnsiTheme="minorHAnsi"/>
              </w:rPr>
              <w:t xml:space="preserve">affecting the land is disclosed and an image search obtained </w:t>
            </w:r>
            <w:r w:rsidR="004139DD" w:rsidRPr="004943B2">
              <w:rPr>
                <w:rFonts w:asciiTheme="minorHAnsi" w:hAnsiTheme="minorHAnsi"/>
              </w:rPr>
              <w:t xml:space="preserve">for registered encumbrances </w:t>
            </w:r>
            <w:r w:rsidR="007F6171" w:rsidRPr="004943B2">
              <w:rPr>
                <w:rFonts w:asciiTheme="minorHAnsi" w:hAnsiTheme="minorHAnsi"/>
              </w:rPr>
              <w:t xml:space="preserve">or a copy of the unregistered encumbrances </w:t>
            </w:r>
            <w:r w:rsidR="00D74CF3" w:rsidRPr="004943B2">
              <w:rPr>
                <w:rFonts w:asciiTheme="minorHAnsi" w:hAnsiTheme="minorHAnsi"/>
              </w:rPr>
              <w:t>is</w:t>
            </w:r>
            <w:r w:rsidRPr="004943B2">
              <w:rPr>
                <w:rFonts w:asciiTheme="minorHAnsi" w:hAnsiTheme="minorHAnsi"/>
              </w:rPr>
              <w:t xml:space="preserve"> annexed</w:t>
            </w:r>
            <w:r w:rsidR="007F6171" w:rsidRPr="004943B2">
              <w:rPr>
                <w:rFonts w:asciiTheme="minorHAnsi" w:hAnsiTheme="minorHAnsi"/>
              </w:rPr>
              <w:t xml:space="preserve"> </w:t>
            </w:r>
            <w:r w:rsidRPr="004943B2">
              <w:rPr>
                <w:rFonts w:asciiTheme="minorHAnsi" w:hAnsiTheme="minorHAnsi"/>
              </w:rPr>
              <w:t xml:space="preserve">and particulars of any </w:t>
            </w:r>
            <w:r w:rsidRPr="004943B2">
              <w:rPr>
                <w:rFonts w:asciiTheme="minorHAnsi" w:hAnsiTheme="minorHAnsi"/>
                <w:b/>
                <w:bCs/>
              </w:rPr>
              <w:t>existing failure to comply</w:t>
            </w:r>
            <w:r w:rsidRPr="004943B2">
              <w:rPr>
                <w:rFonts w:asciiTheme="minorHAnsi" w:hAnsiTheme="minorHAnsi"/>
              </w:rPr>
              <w:t xml:space="preserve"> are given at section 3.1.</w:t>
            </w:r>
          </w:p>
        </w:tc>
        <w:tc>
          <w:tcPr>
            <w:tcW w:w="850" w:type="dxa"/>
          </w:tcPr>
          <w:p w14:paraId="1F0A4C41"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E5</w:t>
            </w:r>
          </w:p>
        </w:tc>
        <w:tc>
          <w:tcPr>
            <w:tcW w:w="1928" w:type="dxa"/>
          </w:tcPr>
          <w:p w14:paraId="691C2C7B"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78E366D6"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46ED1F1F"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11CFBA03"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7E81451C" w14:textId="77777777" w:rsidTr="003D45F0">
        <w:trPr>
          <w:cantSplit/>
        </w:trPr>
        <w:tc>
          <w:tcPr>
            <w:tcW w:w="567" w:type="dxa"/>
          </w:tcPr>
          <w:p w14:paraId="01F2791A" w14:textId="1593FA1D" w:rsidR="00B84943" w:rsidRPr="004943B2" w:rsidRDefault="001B4BAA" w:rsidP="00CF1612">
            <w:pPr>
              <w:spacing w:before="40" w:after="40"/>
              <w:rPr>
                <w:rFonts w:asciiTheme="minorHAnsi" w:hAnsiTheme="minorHAnsi"/>
              </w:rPr>
            </w:pPr>
            <w:r w:rsidRPr="004943B2">
              <w:rPr>
                <w:rFonts w:asciiTheme="minorHAnsi" w:hAnsiTheme="minorHAnsi"/>
                <w:b/>
                <w:sz w:val="18"/>
              </w:rPr>
              <w:t>46</w:t>
            </w:r>
          </w:p>
        </w:tc>
        <w:tc>
          <w:tcPr>
            <w:tcW w:w="850" w:type="dxa"/>
          </w:tcPr>
          <w:p w14:paraId="4E1C8035"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3.2</w:t>
            </w:r>
          </w:p>
        </w:tc>
        <w:tc>
          <w:tcPr>
            <w:tcW w:w="5669" w:type="dxa"/>
          </w:tcPr>
          <w:p w14:paraId="366F6013" w14:textId="6ABB1E5E" w:rsidR="00B84943" w:rsidRPr="004943B2" w:rsidRDefault="00B84943" w:rsidP="00CF1612">
            <w:pPr>
              <w:spacing w:before="40" w:after="40"/>
              <w:rPr>
                <w:rFonts w:asciiTheme="minorHAnsi" w:hAnsiTheme="minorHAnsi"/>
              </w:rPr>
            </w:pPr>
            <w:r w:rsidRPr="004943B2">
              <w:rPr>
                <w:rFonts w:asciiTheme="minorHAnsi" w:hAnsiTheme="minorHAnsi"/>
              </w:rPr>
              <w:t xml:space="preserve">The </w:t>
            </w:r>
            <w:r w:rsidRPr="004943B2">
              <w:rPr>
                <w:rFonts w:asciiTheme="minorHAnsi" w:hAnsiTheme="minorHAnsi"/>
                <w:b/>
                <w:bCs/>
              </w:rPr>
              <w:t>road access</w:t>
            </w:r>
            <w:r w:rsidRPr="004943B2">
              <w:rPr>
                <w:rFonts w:asciiTheme="minorHAnsi" w:hAnsiTheme="minorHAnsi"/>
              </w:rPr>
              <w:t xml:space="preserve"> status of the property is correctly disclosed and has been checked against the title diagram and the property report.</w:t>
            </w:r>
          </w:p>
        </w:tc>
        <w:tc>
          <w:tcPr>
            <w:tcW w:w="850" w:type="dxa"/>
          </w:tcPr>
          <w:p w14:paraId="69C59C2E" w14:textId="02230C2A" w:rsidR="00B84943" w:rsidRPr="004943B2" w:rsidRDefault="00B84943" w:rsidP="00CF1612">
            <w:pPr>
              <w:spacing w:before="40" w:after="40"/>
              <w:rPr>
                <w:rFonts w:asciiTheme="minorHAnsi" w:hAnsiTheme="minorHAnsi"/>
              </w:rPr>
            </w:pPr>
            <w:r w:rsidRPr="004943B2">
              <w:rPr>
                <w:rFonts w:asciiTheme="minorHAnsi" w:hAnsiTheme="minorHAnsi"/>
                <w:sz w:val="17"/>
              </w:rPr>
              <w:t>E28</w:t>
            </w:r>
          </w:p>
        </w:tc>
        <w:tc>
          <w:tcPr>
            <w:tcW w:w="1928" w:type="dxa"/>
          </w:tcPr>
          <w:p w14:paraId="5D058466"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37B52847"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3BD702DC"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42958E4F"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004D35F4" w14:textId="77777777" w:rsidTr="003D45F0">
        <w:trPr>
          <w:cantSplit/>
        </w:trPr>
        <w:tc>
          <w:tcPr>
            <w:tcW w:w="567" w:type="dxa"/>
          </w:tcPr>
          <w:p w14:paraId="40455043" w14:textId="68EEE700" w:rsidR="00B84943" w:rsidRPr="004943B2" w:rsidRDefault="001B4BAA" w:rsidP="00CF1612">
            <w:pPr>
              <w:spacing w:before="40" w:after="40"/>
              <w:rPr>
                <w:rFonts w:asciiTheme="minorHAnsi" w:hAnsiTheme="minorHAnsi"/>
              </w:rPr>
            </w:pPr>
            <w:r w:rsidRPr="004943B2">
              <w:rPr>
                <w:rFonts w:asciiTheme="minorHAnsi" w:hAnsiTheme="minorHAnsi"/>
                <w:b/>
                <w:sz w:val="18"/>
              </w:rPr>
              <w:t>47</w:t>
            </w:r>
          </w:p>
        </w:tc>
        <w:tc>
          <w:tcPr>
            <w:tcW w:w="850" w:type="dxa"/>
          </w:tcPr>
          <w:p w14:paraId="3E24F561"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3.3</w:t>
            </w:r>
          </w:p>
        </w:tc>
        <w:tc>
          <w:tcPr>
            <w:tcW w:w="5669" w:type="dxa"/>
          </w:tcPr>
          <w:p w14:paraId="2AE65851" w14:textId="27654DD4" w:rsidR="00B84943" w:rsidRPr="004943B2" w:rsidRDefault="00B84943" w:rsidP="00CF1612">
            <w:pPr>
              <w:spacing w:before="40" w:after="40"/>
              <w:rPr>
                <w:rFonts w:asciiTheme="minorHAnsi" w:hAnsiTheme="minorHAnsi"/>
              </w:rPr>
            </w:pPr>
            <w:r w:rsidRPr="004943B2">
              <w:rPr>
                <w:rFonts w:asciiTheme="minorHAnsi" w:hAnsiTheme="minorHAnsi"/>
              </w:rPr>
              <w:t xml:space="preserve">The designated </w:t>
            </w:r>
            <w:r w:rsidRPr="004943B2">
              <w:rPr>
                <w:rFonts w:asciiTheme="minorHAnsi" w:hAnsiTheme="minorHAnsi"/>
                <w:b/>
                <w:bCs/>
              </w:rPr>
              <w:t>bushfire prone area</w:t>
            </w:r>
            <w:r w:rsidRPr="004943B2">
              <w:rPr>
                <w:rFonts w:asciiTheme="minorHAnsi" w:hAnsiTheme="minorHAnsi"/>
              </w:rPr>
              <w:t xml:space="preserve"> status of the property has been correctly disclosed and has been checked against the property report.</w:t>
            </w:r>
          </w:p>
        </w:tc>
        <w:tc>
          <w:tcPr>
            <w:tcW w:w="850" w:type="dxa"/>
          </w:tcPr>
          <w:p w14:paraId="61D6D93D" w14:textId="445A4D84" w:rsidR="00B84943" w:rsidRPr="004943B2" w:rsidRDefault="00B84943" w:rsidP="00CF1612">
            <w:pPr>
              <w:spacing w:before="40" w:after="40"/>
              <w:rPr>
                <w:rFonts w:asciiTheme="minorHAnsi" w:hAnsiTheme="minorHAnsi"/>
              </w:rPr>
            </w:pPr>
            <w:r w:rsidRPr="004943B2">
              <w:rPr>
                <w:rFonts w:asciiTheme="minorHAnsi" w:hAnsiTheme="minorHAnsi"/>
                <w:sz w:val="17"/>
              </w:rPr>
              <w:t>E28</w:t>
            </w:r>
          </w:p>
        </w:tc>
        <w:tc>
          <w:tcPr>
            <w:tcW w:w="1928" w:type="dxa"/>
          </w:tcPr>
          <w:p w14:paraId="0A58F3BF"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118BA029"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348BFA18"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79064335"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6F250208" w14:textId="77777777" w:rsidTr="003D45F0">
        <w:trPr>
          <w:cantSplit/>
        </w:trPr>
        <w:tc>
          <w:tcPr>
            <w:tcW w:w="567" w:type="dxa"/>
          </w:tcPr>
          <w:p w14:paraId="2D1B821F" w14:textId="3020DB3E" w:rsidR="00B84943" w:rsidRPr="004943B2" w:rsidRDefault="001B4BAA" w:rsidP="00CF1612">
            <w:pPr>
              <w:spacing w:before="40" w:after="40"/>
              <w:rPr>
                <w:rFonts w:asciiTheme="minorHAnsi" w:hAnsiTheme="minorHAnsi"/>
              </w:rPr>
            </w:pPr>
            <w:r w:rsidRPr="004943B2">
              <w:rPr>
                <w:rFonts w:asciiTheme="minorHAnsi" w:hAnsiTheme="minorHAnsi"/>
                <w:b/>
                <w:sz w:val="18"/>
              </w:rPr>
              <w:t>48</w:t>
            </w:r>
          </w:p>
        </w:tc>
        <w:tc>
          <w:tcPr>
            <w:tcW w:w="850" w:type="dxa"/>
          </w:tcPr>
          <w:p w14:paraId="135BA6BF"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3.4</w:t>
            </w:r>
          </w:p>
        </w:tc>
        <w:tc>
          <w:tcPr>
            <w:tcW w:w="5669" w:type="dxa"/>
          </w:tcPr>
          <w:p w14:paraId="3E18BA30" w14:textId="401625F9" w:rsidR="00B84943" w:rsidRPr="004943B2" w:rsidRDefault="00B84943" w:rsidP="00CF1612">
            <w:pPr>
              <w:spacing w:before="40" w:after="40"/>
              <w:rPr>
                <w:rFonts w:asciiTheme="minorHAnsi" w:hAnsiTheme="minorHAnsi"/>
              </w:rPr>
            </w:pPr>
            <w:r w:rsidRPr="004943B2">
              <w:rPr>
                <w:rFonts w:asciiTheme="minorHAnsi" w:hAnsiTheme="minorHAnsi"/>
              </w:rPr>
              <w:t>A planning certificate has been obtained and annexed.</w:t>
            </w:r>
          </w:p>
        </w:tc>
        <w:tc>
          <w:tcPr>
            <w:tcW w:w="850" w:type="dxa"/>
          </w:tcPr>
          <w:p w14:paraId="55ABA43E" w14:textId="14104D6D" w:rsidR="00B84943" w:rsidRPr="004943B2" w:rsidRDefault="00B84943" w:rsidP="00CF1612">
            <w:pPr>
              <w:spacing w:before="40" w:after="40"/>
              <w:rPr>
                <w:rFonts w:asciiTheme="minorHAnsi" w:hAnsiTheme="minorHAnsi"/>
              </w:rPr>
            </w:pPr>
            <w:r w:rsidRPr="004943B2">
              <w:rPr>
                <w:rFonts w:asciiTheme="minorHAnsi" w:hAnsiTheme="minorHAnsi"/>
                <w:sz w:val="17"/>
              </w:rPr>
              <w:t>E29</w:t>
            </w:r>
          </w:p>
        </w:tc>
        <w:tc>
          <w:tcPr>
            <w:tcW w:w="1928" w:type="dxa"/>
          </w:tcPr>
          <w:p w14:paraId="34C8D270"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173DEC74"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3DA4E8D8"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7A8583FA"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1DC1AF07" w14:textId="77777777" w:rsidTr="003D45F0">
        <w:trPr>
          <w:cantSplit/>
        </w:trPr>
        <w:tc>
          <w:tcPr>
            <w:tcW w:w="9864" w:type="dxa"/>
            <w:gridSpan w:val="5"/>
            <w:shd w:val="clear" w:color="auto" w:fill="E4E8F0"/>
          </w:tcPr>
          <w:p w14:paraId="79CBE29E" w14:textId="2DC3E7E6" w:rsidR="00B84943" w:rsidRPr="004943B2" w:rsidRDefault="00B84943" w:rsidP="00CF1612">
            <w:pPr>
              <w:spacing w:before="40" w:after="40"/>
              <w:rPr>
                <w:rFonts w:asciiTheme="minorHAnsi" w:hAnsiTheme="minorHAnsi"/>
              </w:rPr>
            </w:pPr>
            <w:r w:rsidRPr="004943B2">
              <w:rPr>
                <w:rFonts w:asciiTheme="minorHAnsi" w:hAnsiTheme="minorHAnsi"/>
                <w:b/>
                <w:color w:val="1F3364"/>
                <w:sz w:val="20"/>
              </w:rPr>
              <w:t>Notices</w:t>
            </w:r>
          </w:p>
        </w:tc>
      </w:tr>
      <w:tr w:rsidR="00B84943" w:rsidRPr="004943B2" w14:paraId="7C1D24BB" w14:textId="77777777" w:rsidTr="003D45F0">
        <w:trPr>
          <w:cantSplit/>
        </w:trPr>
        <w:tc>
          <w:tcPr>
            <w:tcW w:w="567" w:type="dxa"/>
          </w:tcPr>
          <w:p w14:paraId="2A645B1D" w14:textId="7787B71B" w:rsidR="00B84943" w:rsidRPr="004943B2" w:rsidRDefault="001B4BAA" w:rsidP="00CF1612">
            <w:pPr>
              <w:spacing w:before="40" w:after="40"/>
              <w:rPr>
                <w:rFonts w:asciiTheme="minorHAnsi" w:hAnsiTheme="minorHAnsi"/>
              </w:rPr>
            </w:pPr>
            <w:r w:rsidRPr="004943B2">
              <w:rPr>
                <w:rFonts w:asciiTheme="minorHAnsi" w:hAnsiTheme="minorHAnsi"/>
                <w:b/>
                <w:sz w:val="18"/>
              </w:rPr>
              <w:t>49</w:t>
            </w:r>
          </w:p>
        </w:tc>
        <w:tc>
          <w:tcPr>
            <w:tcW w:w="850" w:type="dxa"/>
          </w:tcPr>
          <w:p w14:paraId="67082A85"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4.1</w:t>
            </w:r>
          </w:p>
        </w:tc>
        <w:tc>
          <w:tcPr>
            <w:tcW w:w="5669" w:type="dxa"/>
          </w:tcPr>
          <w:p w14:paraId="3F5418FE" w14:textId="592F8DC2" w:rsidR="00B84943" w:rsidRPr="004943B2" w:rsidRDefault="00B84943" w:rsidP="00CF1612">
            <w:pPr>
              <w:spacing w:before="40" w:after="40"/>
              <w:rPr>
                <w:rFonts w:asciiTheme="minorHAnsi" w:hAnsiTheme="minorHAnsi"/>
              </w:rPr>
            </w:pPr>
            <w:proofErr w:type="gramStart"/>
            <w:r w:rsidRPr="004943B2">
              <w:rPr>
                <w:rFonts w:asciiTheme="minorHAnsi" w:hAnsiTheme="minorHAnsi"/>
              </w:rPr>
              <w:t>Particulars disclosed</w:t>
            </w:r>
            <w:proofErr w:type="gramEnd"/>
            <w:r w:rsidRPr="004943B2">
              <w:rPr>
                <w:rFonts w:asciiTheme="minorHAnsi" w:hAnsiTheme="minorHAnsi"/>
              </w:rPr>
              <w:t xml:space="preserve"> of any </w:t>
            </w:r>
            <w:r w:rsidRPr="004943B2">
              <w:rPr>
                <w:rFonts w:asciiTheme="minorHAnsi" w:hAnsiTheme="minorHAnsi"/>
                <w:b/>
                <w:bCs/>
              </w:rPr>
              <w:t>notice</w:t>
            </w:r>
            <w:r w:rsidRPr="004943B2">
              <w:rPr>
                <w:rFonts w:asciiTheme="minorHAnsi" w:hAnsiTheme="minorHAnsi"/>
              </w:rPr>
              <w:t>, order, declaration, report, recommendation or approved proposal of a public authority or government department directly and currently affecting the land have been disclosed and any relevant document annexed.</w:t>
            </w:r>
          </w:p>
        </w:tc>
        <w:tc>
          <w:tcPr>
            <w:tcW w:w="850" w:type="dxa"/>
          </w:tcPr>
          <w:p w14:paraId="184F9899" w14:textId="00132A87" w:rsidR="00B84943" w:rsidRPr="004943B2" w:rsidRDefault="00B84943" w:rsidP="00CF1612">
            <w:pPr>
              <w:spacing w:before="40" w:after="40"/>
              <w:rPr>
                <w:rFonts w:asciiTheme="minorHAnsi" w:hAnsiTheme="minorHAnsi"/>
              </w:rPr>
            </w:pPr>
            <w:r w:rsidRPr="004943B2">
              <w:rPr>
                <w:rFonts w:asciiTheme="minorHAnsi" w:hAnsiTheme="minorHAnsi"/>
                <w:sz w:val="17"/>
              </w:rPr>
              <w:t>E30</w:t>
            </w:r>
          </w:p>
        </w:tc>
        <w:tc>
          <w:tcPr>
            <w:tcW w:w="1928" w:type="dxa"/>
          </w:tcPr>
          <w:p w14:paraId="409DF4A2"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06BEB688"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5D6D446A"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43E67B83"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1BEC6BFF" w14:textId="77777777" w:rsidTr="003D45F0">
        <w:trPr>
          <w:cantSplit/>
        </w:trPr>
        <w:tc>
          <w:tcPr>
            <w:tcW w:w="567" w:type="dxa"/>
          </w:tcPr>
          <w:p w14:paraId="05171977" w14:textId="2C8881FE" w:rsidR="00B84943" w:rsidRPr="004943B2" w:rsidRDefault="001B4BAA" w:rsidP="00CF1612">
            <w:pPr>
              <w:spacing w:before="40" w:after="40"/>
              <w:rPr>
                <w:rFonts w:asciiTheme="minorHAnsi" w:hAnsiTheme="minorHAnsi"/>
              </w:rPr>
            </w:pPr>
            <w:r w:rsidRPr="004943B2">
              <w:rPr>
                <w:rFonts w:asciiTheme="minorHAnsi" w:hAnsiTheme="minorHAnsi"/>
                <w:b/>
                <w:sz w:val="18"/>
              </w:rPr>
              <w:t>50</w:t>
            </w:r>
          </w:p>
        </w:tc>
        <w:tc>
          <w:tcPr>
            <w:tcW w:w="850" w:type="dxa"/>
          </w:tcPr>
          <w:p w14:paraId="6238A3B3"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4.2</w:t>
            </w:r>
          </w:p>
        </w:tc>
        <w:tc>
          <w:tcPr>
            <w:tcW w:w="5669" w:type="dxa"/>
          </w:tcPr>
          <w:p w14:paraId="31ECF015" w14:textId="2F3EFCE1" w:rsidR="00B84943" w:rsidRPr="004943B2" w:rsidRDefault="00EF719A" w:rsidP="00CF1612">
            <w:pPr>
              <w:spacing w:before="40" w:after="40"/>
              <w:rPr>
                <w:rFonts w:asciiTheme="minorHAnsi" w:hAnsiTheme="minorHAnsi"/>
              </w:rPr>
            </w:pPr>
            <w:r w:rsidRPr="004943B2">
              <w:rPr>
                <w:rFonts w:asciiTheme="minorHAnsi" w:hAnsiTheme="minorHAnsi"/>
              </w:rPr>
              <w:t xml:space="preserve">Details of any such notices, property management plans, reports or orders in respect of the land that </w:t>
            </w:r>
            <w:proofErr w:type="gramStart"/>
            <w:r w:rsidRPr="004943B2">
              <w:rPr>
                <w:rFonts w:asciiTheme="minorHAnsi" w:hAnsiTheme="minorHAnsi"/>
              </w:rPr>
              <w:t>relate</w:t>
            </w:r>
            <w:proofErr w:type="gramEnd"/>
            <w:r w:rsidRPr="004943B2">
              <w:rPr>
                <w:rFonts w:asciiTheme="minorHAnsi" w:hAnsiTheme="minorHAnsi"/>
              </w:rPr>
              <w:t xml:space="preserve"> to agricultural chemicals and livestock disease statement are correctly disclosed and a copy of any relevant document annexed.  </w:t>
            </w:r>
          </w:p>
        </w:tc>
        <w:tc>
          <w:tcPr>
            <w:tcW w:w="850" w:type="dxa"/>
          </w:tcPr>
          <w:p w14:paraId="69C3183D" w14:textId="6411B4A5" w:rsidR="00B84943" w:rsidRPr="004943B2" w:rsidRDefault="00B84943" w:rsidP="00CF1612">
            <w:pPr>
              <w:spacing w:before="40" w:after="40"/>
              <w:rPr>
                <w:rFonts w:asciiTheme="minorHAnsi" w:hAnsiTheme="minorHAnsi"/>
              </w:rPr>
            </w:pPr>
            <w:r w:rsidRPr="004943B2">
              <w:rPr>
                <w:rFonts w:asciiTheme="minorHAnsi" w:hAnsiTheme="minorHAnsi"/>
                <w:sz w:val="17"/>
              </w:rPr>
              <w:t>E30</w:t>
            </w:r>
          </w:p>
        </w:tc>
        <w:tc>
          <w:tcPr>
            <w:tcW w:w="1928" w:type="dxa"/>
          </w:tcPr>
          <w:p w14:paraId="7C85C85A"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33642FFD"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2591CA2A"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65056B26"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09CC972C" w14:textId="77777777" w:rsidTr="003D45F0">
        <w:trPr>
          <w:cantSplit/>
        </w:trPr>
        <w:tc>
          <w:tcPr>
            <w:tcW w:w="567" w:type="dxa"/>
          </w:tcPr>
          <w:p w14:paraId="57F7CB49" w14:textId="0BEFB86E" w:rsidR="00B84943" w:rsidRPr="004943B2" w:rsidRDefault="00B84943" w:rsidP="00CF1612">
            <w:pPr>
              <w:spacing w:before="40" w:after="40"/>
              <w:rPr>
                <w:rFonts w:asciiTheme="minorHAnsi" w:hAnsiTheme="minorHAnsi"/>
              </w:rPr>
            </w:pPr>
            <w:r w:rsidRPr="004943B2">
              <w:rPr>
                <w:rFonts w:asciiTheme="minorHAnsi" w:hAnsiTheme="minorHAnsi"/>
                <w:b/>
                <w:sz w:val="18"/>
              </w:rPr>
              <w:t>5</w:t>
            </w:r>
            <w:r w:rsidR="001B4BAA" w:rsidRPr="004943B2">
              <w:rPr>
                <w:rFonts w:asciiTheme="minorHAnsi" w:hAnsiTheme="minorHAnsi"/>
                <w:b/>
                <w:sz w:val="18"/>
              </w:rPr>
              <w:t>1</w:t>
            </w:r>
          </w:p>
        </w:tc>
        <w:tc>
          <w:tcPr>
            <w:tcW w:w="850" w:type="dxa"/>
          </w:tcPr>
          <w:p w14:paraId="583E8B75"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4.3</w:t>
            </w:r>
          </w:p>
        </w:tc>
        <w:tc>
          <w:tcPr>
            <w:tcW w:w="5669" w:type="dxa"/>
          </w:tcPr>
          <w:p w14:paraId="7278DC78" w14:textId="1ABC05CD" w:rsidR="00B84943" w:rsidRPr="004943B2" w:rsidRDefault="00B84943" w:rsidP="00CF1612">
            <w:pPr>
              <w:spacing w:before="40" w:after="40"/>
              <w:rPr>
                <w:rFonts w:asciiTheme="minorHAnsi" w:hAnsiTheme="minorHAnsi"/>
              </w:rPr>
            </w:pPr>
            <w:proofErr w:type="gramStart"/>
            <w:r w:rsidRPr="004943B2">
              <w:rPr>
                <w:rFonts w:asciiTheme="minorHAnsi" w:hAnsiTheme="minorHAnsi"/>
              </w:rPr>
              <w:t>Particulars disclosed</w:t>
            </w:r>
            <w:proofErr w:type="gramEnd"/>
            <w:r w:rsidRPr="004943B2">
              <w:rPr>
                <w:rFonts w:asciiTheme="minorHAnsi" w:hAnsiTheme="minorHAnsi"/>
              </w:rPr>
              <w:t xml:space="preserve"> of any notice of intention to acquire served under section 6 of the </w:t>
            </w:r>
            <w:r w:rsidRPr="004943B2">
              <w:rPr>
                <w:rFonts w:asciiTheme="minorHAnsi" w:hAnsiTheme="minorHAnsi"/>
                <w:i/>
                <w:iCs/>
              </w:rPr>
              <w:t>Land Acquisition and Compensation Act 1986</w:t>
            </w:r>
            <w:r w:rsidR="0064204D" w:rsidRPr="004943B2">
              <w:rPr>
                <w:rFonts w:asciiTheme="minorHAnsi" w:hAnsiTheme="minorHAnsi"/>
              </w:rPr>
              <w:t xml:space="preserve"> (Vic)</w:t>
            </w:r>
            <w:r w:rsidRPr="004943B2">
              <w:rPr>
                <w:rFonts w:asciiTheme="minorHAnsi" w:hAnsiTheme="minorHAnsi"/>
              </w:rPr>
              <w:t>, and a copy of any relevant document annexed.</w:t>
            </w:r>
          </w:p>
        </w:tc>
        <w:tc>
          <w:tcPr>
            <w:tcW w:w="850" w:type="dxa"/>
          </w:tcPr>
          <w:p w14:paraId="21AEE70D" w14:textId="7CA9B719" w:rsidR="00B84943" w:rsidRPr="004943B2" w:rsidRDefault="00B84943" w:rsidP="00CF1612">
            <w:pPr>
              <w:spacing w:before="40" w:after="40"/>
              <w:rPr>
                <w:rFonts w:asciiTheme="minorHAnsi" w:hAnsiTheme="minorHAnsi"/>
              </w:rPr>
            </w:pPr>
            <w:r w:rsidRPr="004943B2">
              <w:rPr>
                <w:rFonts w:asciiTheme="minorHAnsi" w:hAnsiTheme="minorHAnsi"/>
                <w:sz w:val="17"/>
              </w:rPr>
              <w:t>E30</w:t>
            </w:r>
          </w:p>
        </w:tc>
        <w:tc>
          <w:tcPr>
            <w:tcW w:w="1928" w:type="dxa"/>
          </w:tcPr>
          <w:p w14:paraId="4DE29026"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07C0E503"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0E1E6A73"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3FE686C2"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35492411" w14:textId="77777777" w:rsidTr="003D45F0">
        <w:trPr>
          <w:cantSplit/>
        </w:trPr>
        <w:tc>
          <w:tcPr>
            <w:tcW w:w="9864" w:type="dxa"/>
            <w:gridSpan w:val="5"/>
            <w:shd w:val="clear" w:color="auto" w:fill="E4E8F0"/>
          </w:tcPr>
          <w:p w14:paraId="08D02C88" w14:textId="6FBC88D7" w:rsidR="00B84943" w:rsidRPr="004943B2" w:rsidRDefault="00B84943" w:rsidP="00CF1612">
            <w:pPr>
              <w:spacing w:before="40" w:after="40"/>
              <w:rPr>
                <w:rFonts w:asciiTheme="minorHAnsi" w:hAnsiTheme="minorHAnsi"/>
              </w:rPr>
            </w:pPr>
            <w:r w:rsidRPr="004943B2">
              <w:rPr>
                <w:rFonts w:asciiTheme="minorHAnsi" w:hAnsiTheme="minorHAnsi"/>
                <w:b/>
                <w:color w:val="1F3364"/>
                <w:sz w:val="20"/>
              </w:rPr>
              <w:t>Building permits</w:t>
            </w:r>
          </w:p>
        </w:tc>
      </w:tr>
      <w:tr w:rsidR="00B84943" w:rsidRPr="004943B2" w14:paraId="25D43CCF" w14:textId="77777777" w:rsidTr="003D45F0">
        <w:trPr>
          <w:cantSplit/>
        </w:trPr>
        <w:tc>
          <w:tcPr>
            <w:tcW w:w="567" w:type="dxa"/>
          </w:tcPr>
          <w:p w14:paraId="51F95EAA" w14:textId="06830E8F" w:rsidR="00B84943" w:rsidRPr="004943B2" w:rsidRDefault="00B84943" w:rsidP="00CF1612">
            <w:pPr>
              <w:spacing w:before="40" w:after="40"/>
              <w:rPr>
                <w:rFonts w:asciiTheme="minorHAnsi" w:hAnsiTheme="minorHAnsi"/>
              </w:rPr>
            </w:pPr>
            <w:r w:rsidRPr="004943B2">
              <w:rPr>
                <w:rFonts w:asciiTheme="minorHAnsi" w:hAnsiTheme="minorHAnsi"/>
                <w:b/>
                <w:sz w:val="18"/>
              </w:rPr>
              <w:t>5</w:t>
            </w:r>
            <w:r w:rsidR="001B4BAA" w:rsidRPr="004943B2">
              <w:rPr>
                <w:rFonts w:asciiTheme="minorHAnsi" w:hAnsiTheme="minorHAnsi"/>
                <w:b/>
                <w:sz w:val="18"/>
              </w:rPr>
              <w:t>2</w:t>
            </w:r>
          </w:p>
        </w:tc>
        <w:tc>
          <w:tcPr>
            <w:tcW w:w="850" w:type="dxa"/>
          </w:tcPr>
          <w:p w14:paraId="66B18C54"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5</w:t>
            </w:r>
          </w:p>
        </w:tc>
        <w:tc>
          <w:tcPr>
            <w:tcW w:w="5669" w:type="dxa"/>
          </w:tcPr>
          <w:p w14:paraId="446153EC" w14:textId="77777777" w:rsidR="00B84943" w:rsidRPr="004943B2" w:rsidRDefault="00B84943" w:rsidP="00CF1612">
            <w:pPr>
              <w:spacing w:before="40" w:after="40"/>
              <w:rPr>
                <w:rFonts w:asciiTheme="minorHAnsi" w:hAnsiTheme="minorHAnsi"/>
              </w:rPr>
            </w:pPr>
            <w:r w:rsidRPr="004943B2">
              <w:rPr>
                <w:rFonts w:asciiTheme="minorHAnsi" w:hAnsiTheme="minorHAnsi"/>
              </w:rPr>
              <w:t xml:space="preserve">Where there is a residence on the land, particulars of </w:t>
            </w:r>
            <w:r w:rsidRPr="004943B2">
              <w:rPr>
                <w:rFonts w:asciiTheme="minorHAnsi" w:hAnsiTheme="minorHAnsi"/>
                <w:b/>
                <w:bCs/>
              </w:rPr>
              <w:t>any building permit</w:t>
            </w:r>
            <w:r w:rsidRPr="004943B2">
              <w:rPr>
                <w:rFonts w:asciiTheme="minorHAnsi" w:hAnsiTheme="minorHAnsi"/>
              </w:rPr>
              <w:t xml:space="preserve"> issued in the preceding seven years are included (check the council building information certificate).</w:t>
            </w:r>
          </w:p>
        </w:tc>
        <w:tc>
          <w:tcPr>
            <w:tcW w:w="850" w:type="dxa"/>
          </w:tcPr>
          <w:p w14:paraId="64DD63AB" w14:textId="23DFC8E3" w:rsidR="00B84943" w:rsidRPr="004943B2" w:rsidRDefault="00B84943" w:rsidP="00CF1612">
            <w:pPr>
              <w:spacing w:before="40" w:after="40"/>
              <w:rPr>
                <w:rFonts w:asciiTheme="minorHAnsi" w:hAnsiTheme="minorHAnsi"/>
              </w:rPr>
            </w:pPr>
            <w:r w:rsidRPr="004943B2">
              <w:rPr>
                <w:rFonts w:asciiTheme="minorHAnsi" w:hAnsiTheme="minorHAnsi"/>
                <w:sz w:val="17"/>
              </w:rPr>
              <w:t>E31</w:t>
            </w:r>
          </w:p>
        </w:tc>
        <w:tc>
          <w:tcPr>
            <w:tcW w:w="1928" w:type="dxa"/>
          </w:tcPr>
          <w:p w14:paraId="1C457648"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2FD775DC"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77D13A42"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30B4DECD"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07214045" w14:textId="77777777" w:rsidTr="003D45F0">
        <w:trPr>
          <w:cantSplit/>
        </w:trPr>
        <w:tc>
          <w:tcPr>
            <w:tcW w:w="567" w:type="dxa"/>
          </w:tcPr>
          <w:p w14:paraId="5A2D9EF9" w14:textId="6CD23912" w:rsidR="00B84943" w:rsidRPr="004943B2" w:rsidRDefault="00B84943" w:rsidP="00CF1612">
            <w:pPr>
              <w:spacing w:before="40" w:after="40"/>
              <w:rPr>
                <w:rFonts w:asciiTheme="minorHAnsi" w:hAnsiTheme="minorHAnsi"/>
              </w:rPr>
            </w:pPr>
            <w:r w:rsidRPr="004943B2">
              <w:rPr>
                <w:rFonts w:asciiTheme="minorHAnsi" w:hAnsiTheme="minorHAnsi"/>
                <w:b/>
                <w:sz w:val="18"/>
              </w:rPr>
              <w:t>5</w:t>
            </w:r>
            <w:r w:rsidR="001B4BAA" w:rsidRPr="004943B2">
              <w:rPr>
                <w:rFonts w:asciiTheme="minorHAnsi" w:hAnsiTheme="minorHAnsi"/>
                <w:b/>
                <w:sz w:val="18"/>
              </w:rPr>
              <w:t>3</w:t>
            </w:r>
          </w:p>
        </w:tc>
        <w:tc>
          <w:tcPr>
            <w:tcW w:w="850" w:type="dxa"/>
          </w:tcPr>
          <w:p w14:paraId="2338A521"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5</w:t>
            </w:r>
          </w:p>
        </w:tc>
        <w:tc>
          <w:tcPr>
            <w:tcW w:w="5669" w:type="dxa"/>
          </w:tcPr>
          <w:p w14:paraId="4F23A154" w14:textId="07CE62C4" w:rsidR="00B84943" w:rsidRPr="004943B2" w:rsidRDefault="00B84943" w:rsidP="00CF1612">
            <w:pPr>
              <w:spacing w:before="40" w:after="40"/>
              <w:rPr>
                <w:rFonts w:asciiTheme="minorHAnsi" w:hAnsiTheme="minorHAnsi"/>
              </w:rPr>
            </w:pPr>
            <w:r w:rsidRPr="004943B2">
              <w:rPr>
                <w:rFonts w:asciiTheme="minorHAnsi" w:hAnsiTheme="minorHAnsi"/>
              </w:rPr>
              <w:t xml:space="preserve">Where a building permit is listed, the </w:t>
            </w:r>
            <w:r w:rsidRPr="004943B2">
              <w:rPr>
                <w:rFonts w:asciiTheme="minorHAnsi" w:hAnsiTheme="minorHAnsi"/>
                <w:b/>
                <w:bCs/>
              </w:rPr>
              <w:t>occupancy permit or certificate of final inspection</w:t>
            </w:r>
            <w:r w:rsidRPr="004943B2">
              <w:rPr>
                <w:rFonts w:asciiTheme="minorHAnsi" w:hAnsiTheme="minorHAnsi"/>
              </w:rPr>
              <w:t xml:space="preserve"> for those works has been obtained and copies annexed.</w:t>
            </w:r>
          </w:p>
        </w:tc>
        <w:tc>
          <w:tcPr>
            <w:tcW w:w="850" w:type="dxa"/>
          </w:tcPr>
          <w:p w14:paraId="24F0F227" w14:textId="13AF9BF9" w:rsidR="00B84943" w:rsidRPr="004943B2" w:rsidRDefault="00B84943" w:rsidP="00CF1612">
            <w:pPr>
              <w:spacing w:before="40" w:after="40"/>
              <w:rPr>
                <w:rFonts w:asciiTheme="minorHAnsi" w:hAnsiTheme="minorHAnsi"/>
              </w:rPr>
            </w:pPr>
            <w:r w:rsidRPr="004943B2">
              <w:rPr>
                <w:rFonts w:asciiTheme="minorHAnsi" w:hAnsiTheme="minorHAnsi"/>
                <w:sz w:val="17"/>
              </w:rPr>
              <w:t>E31</w:t>
            </w:r>
          </w:p>
        </w:tc>
        <w:tc>
          <w:tcPr>
            <w:tcW w:w="1928" w:type="dxa"/>
          </w:tcPr>
          <w:p w14:paraId="4A868574"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25BA9154"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0166035C"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419B8A9B"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4115C22A" w14:textId="77777777" w:rsidTr="003D45F0">
        <w:trPr>
          <w:cantSplit/>
        </w:trPr>
        <w:tc>
          <w:tcPr>
            <w:tcW w:w="9864" w:type="dxa"/>
            <w:gridSpan w:val="5"/>
            <w:shd w:val="clear" w:color="auto" w:fill="E4E8F0"/>
          </w:tcPr>
          <w:p w14:paraId="21AB3B7C" w14:textId="4055283E" w:rsidR="00B84943" w:rsidRPr="004943B2" w:rsidRDefault="00B84943" w:rsidP="00CF1612">
            <w:pPr>
              <w:spacing w:before="40" w:after="40"/>
              <w:rPr>
                <w:rFonts w:asciiTheme="minorHAnsi" w:hAnsiTheme="minorHAnsi"/>
              </w:rPr>
            </w:pPr>
            <w:proofErr w:type="gramStart"/>
            <w:r w:rsidRPr="004943B2">
              <w:rPr>
                <w:rFonts w:asciiTheme="minorHAnsi" w:hAnsiTheme="minorHAnsi"/>
                <w:b/>
                <w:color w:val="1F3364"/>
                <w:sz w:val="20"/>
              </w:rPr>
              <w:t>Owners</w:t>
            </w:r>
            <w:proofErr w:type="gramEnd"/>
            <w:r w:rsidRPr="004943B2">
              <w:rPr>
                <w:rFonts w:asciiTheme="minorHAnsi" w:hAnsiTheme="minorHAnsi"/>
                <w:b/>
                <w:color w:val="1F3364"/>
                <w:sz w:val="20"/>
              </w:rPr>
              <w:t xml:space="preserve"> corporation</w:t>
            </w:r>
          </w:p>
        </w:tc>
      </w:tr>
      <w:tr w:rsidR="00B84943" w:rsidRPr="004943B2" w14:paraId="2E684F8F" w14:textId="77777777" w:rsidTr="003D45F0">
        <w:trPr>
          <w:cantSplit/>
        </w:trPr>
        <w:tc>
          <w:tcPr>
            <w:tcW w:w="9864" w:type="dxa"/>
            <w:gridSpan w:val="5"/>
            <w:shd w:val="clear" w:color="auto" w:fill="EDE3D2"/>
          </w:tcPr>
          <w:p w14:paraId="7AC68EFC" w14:textId="77777777" w:rsidR="00B84943" w:rsidRPr="004943B2" w:rsidRDefault="00B84943" w:rsidP="00CF1612">
            <w:pPr>
              <w:spacing w:before="40" w:after="40"/>
              <w:rPr>
                <w:rFonts w:asciiTheme="minorHAnsi" w:hAnsiTheme="minorHAnsi"/>
              </w:rPr>
            </w:pPr>
            <w:r w:rsidRPr="004943B2">
              <w:rPr>
                <w:rFonts w:asciiTheme="minorHAnsi" w:hAnsiTheme="minorHAnsi"/>
                <w:b/>
                <w:i/>
                <w:sz w:val="18"/>
              </w:rPr>
              <w:t xml:space="preserve">Only if: the land is affected by an </w:t>
            </w:r>
            <w:proofErr w:type="gramStart"/>
            <w:r w:rsidRPr="004943B2">
              <w:rPr>
                <w:rFonts w:asciiTheme="minorHAnsi" w:hAnsiTheme="minorHAnsi"/>
                <w:b/>
                <w:i/>
                <w:sz w:val="18"/>
              </w:rPr>
              <w:t>owners</w:t>
            </w:r>
            <w:proofErr w:type="gramEnd"/>
            <w:r w:rsidRPr="004943B2">
              <w:rPr>
                <w:rFonts w:asciiTheme="minorHAnsi" w:hAnsiTheme="minorHAnsi"/>
                <w:b/>
                <w:i/>
                <w:sz w:val="18"/>
              </w:rPr>
              <w:t xml:space="preserve"> corporation</w:t>
            </w:r>
          </w:p>
        </w:tc>
      </w:tr>
      <w:tr w:rsidR="00B84943" w:rsidRPr="004943B2" w14:paraId="0867E707" w14:textId="77777777" w:rsidTr="003D45F0">
        <w:trPr>
          <w:cantSplit/>
        </w:trPr>
        <w:tc>
          <w:tcPr>
            <w:tcW w:w="567" w:type="dxa"/>
          </w:tcPr>
          <w:p w14:paraId="72C0FE15" w14:textId="57E45F6C" w:rsidR="00B84943" w:rsidRPr="004943B2" w:rsidRDefault="00B84943" w:rsidP="00CF1612">
            <w:pPr>
              <w:spacing w:before="40" w:after="40"/>
              <w:rPr>
                <w:rFonts w:asciiTheme="minorHAnsi" w:hAnsiTheme="minorHAnsi"/>
              </w:rPr>
            </w:pPr>
            <w:r w:rsidRPr="004943B2">
              <w:rPr>
                <w:rFonts w:asciiTheme="minorHAnsi" w:hAnsiTheme="minorHAnsi"/>
                <w:b/>
                <w:sz w:val="18"/>
              </w:rPr>
              <w:lastRenderedPageBreak/>
              <w:t>5</w:t>
            </w:r>
            <w:r w:rsidR="001B4BAA" w:rsidRPr="004943B2">
              <w:rPr>
                <w:rFonts w:asciiTheme="minorHAnsi" w:hAnsiTheme="minorHAnsi"/>
                <w:b/>
                <w:sz w:val="18"/>
              </w:rPr>
              <w:t>4</w:t>
            </w:r>
          </w:p>
        </w:tc>
        <w:tc>
          <w:tcPr>
            <w:tcW w:w="850" w:type="dxa"/>
          </w:tcPr>
          <w:p w14:paraId="70E0635D"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6</w:t>
            </w:r>
          </w:p>
        </w:tc>
        <w:tc>
          <w:tcPr>
            <w:tcW w:w="5669" w:type="dxa"/>
          </w:tcPr>
          <w:p w14:paraId="3150D2E6" w14:textId="57FAD59E" w:rsidR="00BE0166" w:rsidRPr="004943B2" w:rsidRDefault="00CE483F" w:rsidP="00EF719A">
            <w:pPr>
              <w:spacing w:before="40" w:after="40"/>
              <w:rPr>
                <w:rFonts w:asciiTheme="minorHAnsi" w:hAnsiTheme="minorHAnsi"/>
              </w:rPr>
            </w:pPr>
            <w:r w:rsidRPr="004943B2">
              <w:rPr>
                <w:rFonts w:asciiTheme="minorHAnsi" w:hAnsiTheme="minorHAnsi"/>
              </w:rPr>
              <w:t xml:space="preserve">If an </w:t>
            </w:r>
            <w:proofErr w:type="gramStart"/>
            <w:r w:rsidRPr="004943B2">
              <w:rPr>
                <w:rFonts w:asciiTheme="minorHAnsi" w:hAnsiTheme="minorHAnsi"/>
              </w:rPr>
              <w:t>owners</w:t>
            </w:r>
            <w:proofErr w:type="gramEnd"/>
            <w:r w:rsidRPr="004943B2">
              <w:rPr>
                <w:rFonts w:asciiTheme="minorHAnsi" w:hAnsiTheme="minorHAnsi"/>
              </w:rPr>
              <w:t xml:space="preserve"> corporation applies, the correct box is checked.</w:t>
            </w:r>
          </w:p>
          <w:p w14:paraId="6B50CAD0" w14:textId="7C0F852D" w:rsidR="00B84943" w:rsidRPr="004943B2" w:rsidRDefault="00B84943" w:rsidP="00CF1612">
            <w:pPr>
              <w:spacing w:before="40" w:after="40"/>
              <w:rPr>
                <w:rFonts w:asciiTheme="minorHAnsi" w:hAnsiTheme="minorHAnsi"/>
              </w:rPr>
            </w:pPr>
          </w:p>
        </w:tc>
        <w:tc>
          <w:tcPr>
            <w:tcW w:w="850" w:type="dxa"/>
          </w:tcPr>
          <w:p w14:paraId="15817A49" w14:textId="29BB59E0" w:rsidR="00B84943" w:rsidRPr="004943B2" w:rsidRDefault="00B84943" w:rsidP="00CF1612">
            <w:pPr>
              <w:spacing w:before="40" w:after="40"/>
              <w:rPr>
                <w:rFonts w:asciiTheme="minorHAnsi" w:hAnsiTheme="minorHAnsi"/>
              </w:rPr>
            </w:pPr>
            <w:r w:rsidRPr="004943B2">
              <w:rPr>
                <w:rFonts w:asciiTheme="minorHAnsi" w:hAnsiTheme="minorHAnsi"/>
                <w:sz w:val="17"/>
              </w:rPr>
              <w:t>E32</w:t>
            </w:r>
          </w:p>
        </w:tc>
        <w:tc>
          <w:tcPr>
            <w:tcW w:w="1928" w:type="dxa"/>
          </w:tcPr>
          <w:p w14:paraId="233D0B94"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77F1E40F"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15C7159A"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11947C0E"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44509A9D" w14:textId="77777777" w:rsidTr="003D45F0">
        <w:trPr>
          <w:cantSplit/>
        </w:trPr>
        <w:tc>
          <w:tcPr>
            <w:tcW w:w="567" w:type="dxa"/>
          </w:tcPr>
          <w:p w14:paraId="1516A507" w14:textId="6F2DA40C" w:rsidR="00B84943" w:rsidRPr="004943B2" w:rsidRDefault="001B4BAA" w:rsidP="00CF1612">
            <w:pPr>
              <w:spacing w:before="40" w:after="40"/>
              <w:rPr>
                <w:rFonts w:asciiTheme="minorHAnsi" w:hAnsiTheme="minorHAnsi"/>
              </w:rPr>
            </w:pPr>
            <w:r w:rsidRPr="004943B2">
              <w:rPr>
                <w:rFonts w:asciiTheme="minorHAnsi" w:hAnsiTheme="minorHAnsi"/>
                <w:b/>
                <w:sz w:val="18"/>
              </w:rPr>
              <w:t>55</w:t>
            </w:r>
          </w:p>
        </w:tc>
        <w:tc>
          <w:tcPr>
            <w:tcW w:w="850" w:type="dxa"/>
          </w:tcPr>
          <w:p w14:paraId="20C5BAD6"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6</w:t>
            </w:r>
          </w:p>
        </w:tc>
        <w:tc>
          <w:tcPr>
            <w:tcW w:w="5669" w:type="dxa"/>
          </w:tcPr>
          <w:p w14:paraId="5C9D6D8C" w14:textId="1900C8CE" w:rsidR="00B84943" w:rsidRPr="004943B2" w:rsidRDefault="00B84943" w:rsidP="00CF1612">
            <w:pPr>
              <w:spacing w:before="40" w:after="40"/>
              <w:rPr>
                <w:rFonts w:asciiTheme="minorHAnsi" w:hAnsiTheme="minorHAnsi"/>
              </w:rPr>
            </w:pPr>
            <w:r w:rsidRPr="004943B2">
              <w:rPr>
                <w:rFonts w:asciiTheme="minorHAnsi" w:hAnsiTheme="minorHAnsi"/>
              </w:rPr>
              <w:t xml:space="preserve">A </w:t>
            </w:r>
            <w:r w:rsidR="00631226" w:rsidRPr="004943B2">
              <w:rPr>
                <w:rFonts w:asciiTheme="minorHAnsi" w:hAnsiTheme="minorHAnsi"/>
                <w:b/>
                <w:bCs/>
              </w:rPr>
              <w:t>owners corporation</w:t>
            </w:r>
            <w:r w:rsidRPr="004943B2">
              <w:rPr>
                <w:rFonts w:asciiTheme="minorHAnsi" w:hAnsiTheme="minorHAnsi"/>
                <w:b/>
                <w:bCs/>
              </w:rPr>
              <w:t xml:space="preserve"> certificate</w:t>
            </w:r>
            <w:r w:rsidR="005841F8" w:rsidRPr="004943B2">
              <w:rPr>
                <w:rFonts w:asciiTheme="minorHAnsi" w:hAnsiTheme="minorHAnsi"/>
                <w:b/>
                <w:bCs/>
              </w:rPr>
              <w:t xml:space="preserve">, and </w:t>
            </w:r>
            <w:proofErr w:type="gramStart"/>
            <w:r w:rsidR="005841F8" w:rsidRPr="004943B2">
              <w:rPr>
                <w:rFonts w:asciiTheme="minorHAnsi" w:hAnsiTheme="minorHAnsi"/>
                <w:b/>
                <w:bCs/>
              </w:rPr>
              <w:t>owners</w:t>
            </w:r>
            <w:proofErr w:type="gramEnd"/>
            <w:r w:rsidR="005841F8" w:rsidRPr="004943B2">
              <w:rPr>
                <w:rFonts w:asciiTheme="minorHAnsi" w:hAnsiTheme="minorHAnsi"/>
                <w:b/>
                <w:bCs/>
              </w:rPr>
              <w:t xml:space="preserve"> corporation report</w:t>
            </w:r>
            <w:r w:rsidRPr="004943B2">
              <w:rPr>
                <w:rFonts w:asciiTheme="minorHAnsi" w:hAnsiTheme="minorHAnsi"/>
              </w:rPr>
              <w:t xml:space="preserve"> has been obtained for </w:t>
            </w:r>
            <w:r w:rsidRPr="004943B2">
              <w:rPr>
                <w:rFonts w:asciiTheme="minorHAnsi" w:hAnsiTheme="minorHAnsi"/>
                <w:b/>
                <w:bCs/>
              </w:rPr>
              <w:t xml:space="preserve">every </w:t>
            </w:r>
            <w:proofErr w:type="gramStart"/>
            <w:r w:rsidRPr="004943B2">
              <w:rPr>
                <w:rFonts w:asciiTheme="minorHAnsi" w:hAnsiTheme="minorHAnsi"/>
                <w:b/>
                <w:bCs/>
              </w:rPr>
              <w:t>owners</w:t>
            </w:r>
            <w:proofErr w:type="gramEnd"/>
            <w:r w:rsidRPr="004943B2">
              <w:rPr>
                <w:rFonts w:asciiTheme="minorHAnsi" w:hAnsiTheme="minorHAnsi"/>
                <w:b/>
                <w:bCs/>
              </w:rPr>
              <w:t xml:space="preserve"> corporation</w:t>
            </w:r>
            <w:r w:rsidRPr="004943B2">
              <w:rPr>
                <w:rFonts w:asciiTheme="minorHAnsi" w:hAnsiTheme="minorHAnsi"/>
              </w:rPr>
              <w:t xml:space="preserve"> shown on the title, including any affecting a car park or storage lot.</w:t>
            </w:r>
          </w:p>
        </w:tc>
        <w:tc>
          <w:tcPr>
            <w:tcW w:w="850" w:type="dxa"/>
          </w:tcPr>
          <w:p w14:paraId="1E806A7B" w14:textId="57DEAF77" w:rsidR="00B84943" w:rsidRPr="004943B2" w:rsidRDefault="00B84943" w:rsidP="00CF1612">
            <w:pPr>
              <w:spacing w:before="40" w:after="40"/>
              <w:rPr>
                <w:rFonts w:asciiTheme="minorHAnsi" w:hAnsiTheme="minorHAnsi"/>
              </w:rPr>
            </w:pPr>
            <w:r w:rsidRPr="004943B2">
              <w:rPr>
                <w:rFonts w:asciiTheme="minorHAnsi" w:hAnsiTheme="minorHAnsi"/>
                <w:sz w:val="17"/>
              </w:rPr>
              <w:t>E32</w:t>
            </w:r>
          </w:p>
        </w:tc>
        <w:tc>
          <w:tcPr>
            <w:tcW w:w="1928" w:type="dxa"/>
          </w:tcPr>
          <w:p w14:paraId="3F81A343"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6B610C1E"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051ABF62"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6E2CB60A"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33456DEE" w14:textId="77777777" w:rsidTr="003D45F0">
        <w:trPr>
          <w:cantSplit/>
        </w:trPr>
        <w:tc>
          <w:tcPr>
            <w:tcW w:w="567" w:type="dxa"/>
          </w:tcPr>
          <w:p w14:paraId="634851F9" w14:textId="44FB5D31" w:rsidR="00B84943" w:rsidRPr="004943B2" w:rsidRDefault="001B4BAA" w:rsidP="00CF1612">
            <w:pPr>
              <w:spacing w:before="40" w:after="40"/>
              <w:rPr>
                <w:rFonts w:asciiTheme="minorHAnsi" w:hAnsiTheme="minorHAnsi"/>
              </w:rPr>
            </w:pPr>
            <w:r w:rsidRPr="004943B2">
              <w:rPr>
                <w:rFonts w:asciiTheme="minorHAnsi" w:hAnsiTheme="minorHAnsi"/>
                <w:b/>
                <w:sz w:val="18"/>
              </w:rPr>
              <w:t>56</w:t>
            </w:r>
          </w:p>
        </w:tc>
        <w:tc>
          <w:tcPr>
            <w:tcW w:w="850" w:type="dxa"/>
          </w:tcPr>
          <w:p w14:paraId="687DAE99"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6</w:t>
            </w:r>
          </w:p>
        </w:tc>
        <w:tc>
          <w:tcPr>
            <w:tcW w:w="5669" w:type="dxa"/>
          </w:tcPr>
          <w:p w14:paraId="38A00810" w14:textId="249FB177" w:rsidR="00B84943" w:rsidRPr="004943B2" w:rsidRDefault="00B84943" w:rsidP="00CF1612">
            <w:pPr>
              <w:spacing w:before="40" w:after="40"/>
              <w:rPr>
                <w:rFonts w:asciiTheme="minorHAnsi" w:hAnsiTheme="minorHAnsi"/>
              </w:rPr>
            </w:pPr>
            <w:r w:rsidRPr="004943B2">
              <w:rPr>
                <w:rFonts w:asciiTheme="minorHAnsi" w:hAnsiTheme="minorHAnsi"/>
              </w:rPr>
              <w:t xml:space="preserve">Each </w:t>
            </w:r>
            <w:proofErr w:type="gramStart"/>
            <w:r w:rsidR="00631226" w:rsidRPr="004943B2">
              <w:rPr>
                <w:rFonts w:asciiTheme="minorHAnsi" w:hAnsiTheme="minorHAnsi"/>
              </w:rPr>
              <w:t>owners</w:t>
            </w:r>
            <w:proofErr w:type="gramEnd"/>
            <w:r w:rsidR="00631226" w:rsidRPr="004943B2">
              <w:rPr>
                <w:rFonts w:asciiTheme="minorHAnsi" w:hAnsiTheme="minorHAnsi"/>
              </w:rPr>
              <w:t xml:space="preserve"> corporation</w:t>
            </w:r>
            <w:r w:rsidRPr="004943B2">
              <w:rPr>
                <w:rFonts w:asciiTheme="minorHAnsi" w:hAnsiTheme="minorHAnsi"/>
              </w:rPr>
              <w:t xml:space="preserve"> certificate is </w:t>
            </w:r>
            <w:r w:rsidRPr="004943B2">
              <w:rPr>
                <w:rFonts w:asciiTheme="minorHAnsi" w:hAnsiTheme="minorHAnsi"/>
                <w:b/>
                <w:bCs/>
              </w:rPr>
              <w:t>current</w:t>
            </w:r>
            <w:r w:rsidRPr="004943B2">
              <w:rPr>
                <w:rFonts w:asciiTheme="minorHAnsi" w:hAnsiTheme="minorHAnsi"/>
              </w:rPr>
              <w:t xml:space="preserve"> and is </w:t>
            </w:r>
            <w:r w:rsidRPr="004943B2">
              <w:rPr>
                <w:rFonts w:asciiTheme="minorHAnsi" w:hAnsiTheme="minorHAnsi"/>
                <w:b/>
                <w:bCs/>
              </w:rPr>
              <w:t>signed</w:t>
            </w:r>
            <w:r w:rsidRPr="004943B2">
              <w:rPr>
                <w:rFonts w:asciiTheme="minorHAnsi" w:hAnsiTheme="minorHAnsi"/>
              </w:rPr>
              <w:t xml:space="preserve">, or the </w:t>
            </w:r>
            <w:r w:rsidRPr="004943B2">
              <w:rPr>
                <w:rFonts w:asciiTheme="minorHAnsi" w:hAnsiTheme="minorHAnsi"/>
                <w:b/>
                <w:bCs/>
              </w:rPr>
              <w:t>prescribed information</w:t>
            </w:r>
            <w:r w:rsidRPr="004943B2">
              <w:rPr>
                <w:rFonts w:asciiTheme="minorHAnsi" w:hAnsiTheme="minorHAnsi"/>
              </w:rPr>
              <w:t xml:space="preserve"> under section 151(4)(a) of the Owners Corporations Act is correctly disclosed.</w:t>
            </w:r>
          </w:p>
        </w:tc>
        <w:tc>
          <w:tcPr>
            <w:tcW w:w="850" w:type="dxa"/>
          </w:tcPr>
          <w:p w14:paraId="6E62178A" w14:textId="7B9AE2CA" w:rsidR="00B84943" w:rsidRPr="004943B2" w:rsidRDefault="00B84943" w:rsidP="00CF1612">
            <w:pPr>
              <w:spacing w:before="40" w:after="40"/>
              <w:rPr>
                <w:rFonts w:asciiTheme="minorHAnsi" w:hAnsiTheme="minorHAnsi"/>
              </w:rPr>
            </w:pPr>
            <w:r w:rsidRPr="004943B2">
              <w:rPr>
                <w:rFonts w:asciiTheme="minorHAnsi" w:hAnsiTheme="minorHAnsi"/>
                <w:sz w:val="17"/>
              </w:rPr>
              <w:t>E32</w:t>
            </w:r>
          </w:p>
        </w:tc>
        <w:tc>
          <w:tcPr>
            <w:tcW w:w="1928" w:type="dxa"/>
          </w:tcPr>
          <w:p w14:paraId="442DFF25"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33A20B94"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6AA2FE23"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09FC6899"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20F9BA30" w14:textId="77777777" w:rsidTr="003D45F0">
        <w:trPr>
          <w:cantSplit/>
        </w:trPr>
        <w:tc>
          <w:tcPr>
            <w:tcW w:w="567" w:type="dxa"/>
          </w:tcPr>
          <w:p w14:paraId="09970DB8" w14:textId="7A32EBF3" w:rsidR="00B84943" w:rsidRPr="004943B2" w:rsidRDefault="001B4BAA" w:rsidP="00CF1612">
            <w:pPr>
              <w:spacing w:before="40" w:after="40"/>
              <w:rPr>
                <w:rFonts w:asciiTheme="minorHAnsi" w:hAnsiTheme="minorHAnsi"/>
              </w:rPr>
            </w:pPr>
            <w:r w:rsidRPr="004943B2">
              <w:rPr>
                <w:rFonts w:asciiTheme="minorHAnsi" w:hAnsiTheme="minorHAnsi"/>
                <w:b/>
                <w:sz w:val="18"/>
              </w:rPr>
              <w:t>57</w:t>
            </w:r>
          </w:p>
        </w:tc>
        <w:tc>
          <w:tcPr>
            <w:tcW w:w="850" w:type="dxa"/>
          </w:tcPr>
          <w:p w14:paraId="02F5FF8C"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6</w:t>
            </w:r>
          </w:p>
        </w:tc>
        <w:tc>
          <w:tcPr>
            <w:tcW w:w="5669" w:type="dxa"/>
          </w:tcPr>
          <w:p w14:paraId="32595E13" w14:textId="4530FFE7" w:rsidR="00B84943" w:rsidRPr="004943B2" w:rsidRDefault="00B84943" w:rsidP="00CF1612">
            <w:pPr>
              <w:spacing w:before="40" w:after="40"/>
              <w:rPr>
                <w:rFonts w:asciiTheme="minorHAnsi" w:hAnsiTheme="minorHAnsi"/>
              </w:rPr>
            </w:pPr>
            <w:r w:rsidRPr="004943B2">
              <w:rPr>
                <w:rFonts w:asciiTheme="minorHAnsi" w:hAnsiTheme="minorHAnsi"/>
              </w:rPr>
              <w:t xml:space="preserve">The </w:t>
            </w:r>
            <w:r w:rsidRPr="004943B2">
              <w:rPr>
                <w:rFonts w:asciiTheme="minorHAnsi" w:hAnsiTheme="minorHAnsi"/>
                <w:b/>
                <w:bCs/>
              </w:rPr>
              <w:t>rules</w:t>
            </w:r>
            <w:r w:rsidR="00143A49" w:rsidRPr="004943B2">
              <w:rPr>
                <w:rFonts w:asciiTheme="minorHAnsi" w:hAnsiTheme="minorHAnsi"/>
                <w:b/>
                <w:bCs/>
              </w:rPr>
              <w:t xml:space="preserve"> (including any additional rules)</w:t>
            </w:r>
            <w:r w:rsidRPr="004943B2">
              <w:rPr>
                <w:rFonts w:asciiTheme="minorHAnsi" w:hAnsiTheme="minorHAnsi"/>
                <w:b/>
                <w:bCs/>
              </w:rPr>
              <w:t>, minutes, financial statements and proof of insurance</w:t>
            </w:r>
            <w:r w:rsidRPr="004943B2">
              <w:rPr>
                <w:rFonts w:asciiTheme="minorHAnsi" w:hAnsiTheme="minorHAnsi"/>
              </w:rPr>
              <w:t xml:space="preserve"> are attached to each certificate and do not disclose anything inconsistent with the client’s instructions. The minutes have been read for any indication of a notice, special levy, defect or dispute that is not otherwise disclosed.</w:t>
            </w:r>
          </w:p>
        </w:tc>
        <w:tc>
          <w:tcPr>
            <w:tcW w:w="850" w:type="dxa"/>
          </w:tcPr>
          <w:p w14:paraId="297ACBEF" w14:textId="08F2B792" w:rsidR="00B84943" w:rsidRPr="004943B2" w:rsidRDefault="00B84943" w:rsidP="00CF1612">
            <w:pPr>
              <w:spacing w:before="40" w:after="40"/>
              <w:rPr>
                <w:rFonts w:asciiTheme="minorHAnsi" w:hAnsiTheme="minorHAnsi"/>
              </w:rPr>
            </w:pPr>
            <w:r w:rsidRPr="004943B2">
              <w:rPr>
                <w:rFonts w:asciiTheme="minorHAnsi" w:hAnsiTheme="minorHAnsi"/>
                <w:sz w:val="17"/>
              </w:rPr>
              <w:t>E32</w:t>
            </w:r>
          </w:p>
        </w:tc>
        <w:tc>
          <w:tcPr>
            <w:tcW w:w="1928" w:type="dxa"/>
          </w:tcPr>
          <w:p w14:paraId="66EE4FD0"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5F78BD0C"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35F95113"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38A805F8"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0F0E01" w:rsidRPr="004943B2" w14:paraId="24933C2E" w14:textId="77777777" w:rsidTr="007110B7">
        <w:trPr>
          <w:cantSplit/>
        </w:trPr>
        <w:tc>
          <w:tcPr>
            <w:tcW w:w="567" w:type="dxa"/>
          </w:tcPr>
          <w:p w14:paraId="3F8DBC1F" w14:textId="0E92D09A" w:rsidR="000F0E01" w:rsidRPr="004943B2" w:rsidRDefault="001B4BAA" w:rsidP="00EF719A">
            <w:pPr>
              <w:spacing w:before="40" w:after="40"/>
              <w:rPr>
                <w:rFonts w:asciiTheme="minorHAnsi" w:hAnsiTheme="minorHAnsi"/>
                <w:b/>
                <w:sz w:val="18"/>
                <w:szCs w:val="18"/>
              </w:rPr>
            </w:pPr>
            <w:r w:rsidRPr="004943B2">
              <w:rPr>
                <w:rFonts w:asciiTheme="minorHAnsi" w:hAnsiTheme="minorHAnsi"/>
                <w:b/>
                <w:bCs/>
              </w:rPr>
              <w:t>58</w:t>
            </w:r>
          </w:p>
        </w:tc>
        <w:tc>
          <w:tcPr>
            <w:tcW w:w="850" w:type="dxa"/>
          </w:tcPr>
          <w:p w14:paraId="3B76D78A" w14:textId="2BB53902" w:rsidR="000F0E01" w:rsidRPr="004943B2" w:rsidRDefault="00B70F75" w:rsidP="00EF719A">
            <w:pPr>
              <w:spacing w:before="40" w:after="40"/>
              <w:rPr>
                <w:rFonts w:asciiTheme="minorHAnsi" w:hAnsiTheme="minorHAnsi"/>
                <w:i/>
                <w:sz w:val="17"/>
                <w:szCs w:val="17"/>
              </w:rPr>
            </w:pPr>
            <w:r w:rsidRPr="004943B2">
              <w:rPr>
                <w:rFonts w:asciiTheme="minorHAnsi" w:hAnsiTheme="minorHAnsi"/>
                <w:i/>
                <w:sz w:val="17"/>
                <w:szCs w:val="17"/>
              </w:rPr>
              <w:t>6</w:t>
            </w:r>
          </w:p>
        </w:tc>
        <w:tc>
          <w:tcPr>
            <w:tcW w:w="5669" w:type="dxa"/>
          </w:tcPr>
          <w:p w14:paraId="5937A0A6" w14:textId="6E005F91" w:rsidR="000F0E01" w:rsidRPr="004943B2" w:rsidRDefault="00B70F75" w:rsidP="00EF719A">
            <w:pPr>
              <w:spacing w:before="40" w:after="40"/>
              <w:rPr>
                <w:rFonts w:asciiTheme="minorHAnsi" w:hAnsiTheme="minorHAnsi"/>
              </w:rPr>
            </w:pPr>
            <w:r w:rsidRPr="004943B2">
              <w:rPr>
                <w:rFonts w:asciiTheme="minorHAnsi" w:hAnsiTheme="minorHAnsi"/>
              </w:rPr>
              <w:t>Statement of advice and information for prospective purchasers and lot owners has been annexed.</w:t>
            </w:r>
          </w:p>
        </w:tc>
        <w:tc>
          <w:tcPr>
            <w:tcW w:w="850" w:type="dxa"/>
          </w:tcPr>
          <w:p w14:paraId="461AE023" w14:textId="627909AB" w:rsidR="000F0E01" w:rsidRPr="004943B2" w:rsidRDefault="00B70F75" w:rsidP="00EF719A">
            <w:pPr>
              <w:spacing w:before="40" w:after="40"/>
              <w:rPr>
                <w:rFonts w:asciiTheme="minorHAnsi" w:hAnsiTheme="minorHAnsi"/>
                <w:sz w:val="17"/>
                <w:szCs w:val="17"/>
              </w:rPr>
            </w:pPr>
            <w:r w:rsidRPr="004943B2">
              <w:rPr>
                <w:rFonts w:asciiTheme="minorHAnsi" w:hAnsiTheme="minorHAnsi"/>
                <w:sz w:val="17"/>
                <w:szCs w:val="17"/>
              </w:rPr>
              <w:t>E32</w:t>
            </w:r>
          </w:p>
        </w:tc>
        <w:tc>
          <w:tcPr>
            <w:tcW w:w="1928" w:type="dxa"/>
          </w:tcPr>
          <w:p w14:paraId="253C201A" w14:textId="77777777" w:rsidR="00B70F75" w:rsidRPr="004943B2" w:rsidRDefault="00B70F75" w:rsidP="00B70F75">
            <w:pPr>
              <w:spacing w:after="0"/>
              <w:rPr>
                <w:rFonts w:asciiTheme="minorHAnsi" w:hAnsiTheme="minorHAnsi"/>
              </w:rPr>
            </w:pPr>
            <w:r w:rsidRPr="004943B2">
              <w:rPr>
                <w:rFonts w:asciiTheme="minorHAnsi" w:hAnsiTheme="minorHAnsi"/>
                <w:sz w:val="18"/>
                <w:szCs w:val="18"/>
              </w:rPr>
              <w:t xml:space="preserve">Done  </w:t>
            </w:r>
            <w:r w:rsidRPr="004943B2">
              <w:rPr>
                <w:rFonts w:asciiTheme="minorHAnsi" w:hAnsiTheme="minorHAnsi" w:cs="Segoe UI Symbol"/>
                <w:sz w:val="18"/>
                <w:szCs w:val="18"/>
              </w:rPr>
              <w:t>☐</w:t>
            </w:r>
          </w:p>
          <w:p w14:paraId="0EA856E5" w14:textId="77777777" w:rsidR="00B70F75" w:rsidRPr="004943B2" w:rsidRDefault="00B70F75" w:rsidP="00B70F75">
            <w:pPr>
              <w:spacing w:after="0"/>
              <w:rPr>
                <w:rFonts w:asciiTheme="minorHAnsi" w:hAnsiTheme="minorHAnsi"/>
              </w:rPr>
            </w:pPr>
            <w:r w:rsidRPr="004943B2">
              <w:rPr>
                <w:rFonts w:asciiTheme="minorHAnsi" w:hAnsiTheme="minorHAnsi"/>
                <w:sz w:val="18"/>
                <w:szCs w:val="18"/>
              </w:rPr>
              <w:t xml:space="preserve">N/A  </w:t>
            </w:r>
            <w:r w:rsidRPr="004943B2">
              <w:rPr>
                <w:rFonts w:asciiTheme="minorHAnsi" w:hAnsiTheme="minorHAnsi" w:cs="Segoe UI Symbol"/>
                <w:sz w:val="18"/>
                <w:szCs w:val="18"/>
              </w:rPr>
              <w:t>☐</w:t>
            </w:r>
          </w:p>
          <w:p w14:paraId="6B1A53AC" w14:textId="77777777" w:rsidR="00B70F75" w:rsidRPr="004943B2" w:rsidRDefault="00B70F75" w:rsidP="00B70F75">
            <w:pPr>
              <w:spacing w:after="0"/>
              <w:rPr>
                <w:rFonts w:asciiTheme="minorHAnsi" w:hAnsiTheme="minorHAnsi"/>
              </w:rPr>
            </w:pPr>
            <w:r w:rsidRPr="004943B2">
              <w:rPr>
                <w:rFonts w:asciiTheme="minorHAnsi" w:hAnsiTheme="minorHAnsi"/>
                <w:sz w:val="18"/>
                <w:szCs w:val="18"/>
              </w:rPr>
              <w:t xml:space="preserve">Follow up  </w:t>
            </w:r>
            <w:r w:rsidRPr="004943B2">
              <w:rPr>
                <w:rFonts w:asciiTheme="minorHAnsi" w:hAnsiTheme="minorHAnsi" w:cs="Segoe UI Symbol"/>
                <w:sz w:val="18"/>
                <w:szCs w:val="18"/>
              </w:rPr>
              <w:t>☐</w:t>
            </w:r>
          </w:p>
          <w:p w14:paraId="101584C5" w14:textId="6C08EE6F" w:rsidR="000F0E01" w:rsidRPr="004943B2" w:rsidRDefault="00B70F75" w:rsidP="00B70F75">
            <w:pPr>
              <w:spacing w:after="0"/>
              <w:rPr>
                <w:rFonts w:asciiTheme="minorHAnsi" w:hAnsiTheme="minorHAnsi"/>
                <w:sz w:val="18"/>
                <w:szCs w:val="18"/>
              </w:rPr>
            </w:pPr>
            <w:r w:rsidRPr="004943B2">
              <w:rPr>
                <w:rFonts w:asciiTheme="minorHAnsi" w:hAnsiTheme="minorHAnsi"/>
                <w:sz w:val="16"/>
                <w:szCs w:val="16"/>
              </w:rPr>
              <w:t>……………………</w:t>
            </w:r>
          </w:p>
        </w:tc>
      </w:tr>
      <w:tr w:rsidR="00B84943" w:rsidRPr="004943B2" w14:paraId="75F0528F" w14:textId="77777777" w:rsidTr="003D45F0">
        <w:trPr>
          <w:cantSplit/>
        </w:trPr>
        <w:tc>
          <w:tcPr>
            <w:tcW w:w="567" w:type="dxa"/>
          </w:tcPr>
          <w:p w14:paraId="276874AB" w14:textId="31595938" w:rsidR="00B84943" w:rsidRPr="004943B2" w:rsidRDefault="001B4BAA" w:rsidP="00CF1612">
            <w:pPr>
              <w:spacing w:before="40" w:after="40"/>
              <w:rPr>
                <w:rFonts w:asciiTheme="minorHAnsi" w:hAnsiTheme="minorHAnsi"/>
              </w:rPr>
            </w:pPr>
            <w:r w:rsidRPr="004943B2">
              <w:rPr>
                <w:rFonts w:asciiTheme="minorHAnsi" w:hAnsiTheme="minorHAnsi"/>
                <w:b/>
                <w:sz w:val="18"/>
              </w:rPr>
              <w:t>59</w:t>
            </w:r>
          </w:p>
        </w:tc>
        <w:tc>
          <w:tcPr>
            <w:tcW w:w="850" w:type="dxa"/>
          </w:tcPr>
          <w:p w14:paraId="6D50848F"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6</w:t>
            </w:r>
          </w:p>
        </w:tc>
        <w:tc>
          <w:tcPr>
            <w:tcW w:w="5669" w:type="dxa"/>
          </w:tcPr>
          <w:p w14:paraId="44FA43E1" w14:textId="63A35B69" w:rsidR="00B84943" w:rsidRPr="004943B2" w:rsidRDefault="00B84943" w:rsidP="00CF1612">
            <w:pPr>
              <w:spacing w:before="40" w:after="40"/>
              <w:rPr>
                <w:rFonts w:asciiTheme="minorHAnsi" w:hAnsiTheme="minorHAnsi"/>
              </w:rPr>
            </w:pPr>
            <w:r w:rsidRPr="004943B2">
              <w:rPr>
                <w:rFonts w:asciiTheme="minorHAnsi" w:hAnsiTheme="minorHAnsi"/>
              </w:rPr>
              <w:t xml:space="preserve">Where there are three or more lots, reinstatement and replacement </w:t>
            </w:r>
            <w:r w:rsidRPr="004943B2">
              <w:rPr>
                <w:rFonts w:asciiTheme="minorHAnsi" w:hAnsiTheme="minorHAnsi"/>
                <w:b/>
                <w:bCs/>
              </w:rPr>
              <w:t>insurance</w:t>
            </w:r>
            <w:r w:rsidRPr="004943B2">
              <w:rPr>
                <w:rFonts w:asciiTheme="minorHAnsi" w:hAnsiTheme="minorHAnsi"/>
              </w:rPr>
              <w:t xml:space="preserve"> for any buildings on the common property, and public liability insurance for the common property, have been obtained in the name of the owners corporation, and ensure that the terms of the owners corporation insurance complies with section 59 or section 60 of the Owners Corporations Act (as applicable), and the certificate of insurance is annexed.</w:t>
            </w:r>
          </w:p>
        </w:tc>
        <w:tc>
          <w:tcPr>
            <w:tcW w:w="850" w:type="dxa"/>
          </w:tcPr>
          <w:p w14:paraId="500AF829" w14:textId="5874D6B6" w:rsidR="00B84943" w:rsidRPr="004943B2" w:rsidRDefault="00B84943" w:rsidP="00CF1612">
            <w:pPr>
              <w:spacing w:before="40" w:after="40"/>
              <w:rPr>
                <w:rFonts w:asciiTheme="minorHAnsi" w:hAnsiTheme="minorHAnsi"/>
              </w:rPr>
            </w:pPr>
            <w:r w:rsidRPr="004943B2">
              <w:rPr>
                <w:rFonts w:asciiTheme="minorHAnsi" w:hAnsiTheme="minorHAnsi"/>
                <w:sz w:val="17"/>
              </w:rPr>
              <w:t>E32</w:t>
            </w:r>
          </w:p>
        </w:tc>
        <w:tc>
          <w:tcPr>
            <w:tcW w:w="1928" w:type="dxa"/>
          </w:tcPr>
          <w:p w14:paraId="4FDF2C89"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3FBC7656"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3C1490AB"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7BFEB846"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435D2D5E" w14:textId="77777777" w:rsidTr="003D45F0">
        <w:trPr>
          <w:cantSplit/>
        </w:trPr>
        <w:tc>
          <w:tcPr>
            <w:tcW w:w="9864" w:type="dxa"/>
            <w:gridSpan w:val="5"/>
            <w:shd w:val="clear" w:color="auto" w:fill="EDE3D2"/>
          </w:tcPr>
          <w:p w14:paraId="1F9C1EFA" w14:textId="77777777" w:rsidR="00B84943" w:rsidRPr="004943B2" w:rsidRDefault="00B84943" w:rsidP="00CF1612">
            <w:pPr>
              <w:spacing w:before="40" w:after="40"/>
              <w:rPr>
                <w:rFonts w:asciiTheme="minorHAnsi" w:hAnsiTheme="minorHAnsi"/>
              </w:rPr>
            </w:pPr>
            <w:r w:rsidRPr="004943B2">
              <w:rPr>
                <w:rFonts w:asciiTheme="minorHAnsi" w:hAnsiTheme="minorHAnsi"/>
                <w:b/>
                <w:i/>
                <w:sz w:val="18"/>
              </w:rPr>
              <w:t xml:space="preserve">End of </w:t>
            </w:r>
            <w:proofErr w:type="gramStart"/>
            <w:r w:rsidRPr="004943B2">
              <w:rPr>
                <w:rFonts w:asciiTheme="minorHAnsi" w:hAnsiTheme="minorHAnsi"/>
                <w:b/>
                <w:i/>
                <w:sz w:val="18"/>
              </w:rPr>
              <w:t>owners</w:t>
            </w:r>
            <w:proofErr w:type="gramEnd"/>
            <w:r w:rsidRPr="004943B2">
              <w:rPr>
                <w:rFonts w:asciiTheme="minorHAnsi" w:hAnsiTheme="minorHAnsi"/>
                <w:b/>
                <w:i/>
                <w:sz w:val="18"/>
              </w:rPr>
              <w:t xml:space="preserve"> corporation block</w:t>
            </w:r>
          </w:p>
        </w:tc>
      </w:tr>
      <w:tr w:rsidR="00B84943" w:rsidRPr="004943B2" w14:paraId="365AF220" w14:textId="77777777" w:rsidTr="003D45F0">
        <w:trPr>
          <w:cantSplit/>
        </w:trPr>
        <w:tc>
          <w:tcPr>
            <w:tcW w:w="9864" w:type="dxa"/>
            <w:gridSpan w:val="5"/>
            <w:shd w:val="clear" w:color="auto" w:fill="E4E8F0"/>
          </w:tcPr>
          <w:p w14:paraId="68A2531A" w14:textId="12FFB3BB" w:rsidR="00B84943" w:rsidRPr="004943B2" w:rsidRDefault="00B84943" w:rsidP="00CF1612">
            <w:pPr>
              <w:spacing w:before="40" w:after="40"/>
              <w:rPr>
                <w:rFonts w:asciiTheme="minorHAnsi" w:hAnsiTheme="minorHAnsi"/>
              </w:rPr>
            </w:pPr>
            <w:r w:rsidRPr="004943B2">
              <w:rPr>
                <w:rFonts w:asciiTheme="minorHAnsi" w:hAnsiTheme="minorHAnsi"/>
                <w:b/>
                <w:color w:val="1F3364"/>
                <w:sz w:val="20"/>
              </w:rPr>
              <w:t>G</w:t>
            </w:r>
            <w:r w:rsidR="00B46CC0" w:rsidRPr="004943B2">
              <w:rPr>
                <w:rFonts w:asciiTheme="minorHAnsi" w:hAnsiTheme="minorHAnsi"/>
                <w:b/>
                <w:color w:val="1F3364"/>
                <w:sz w:val="20"/>
              </w:rPr>
              <w:t>AIC</w:t>
            </w:r>
          </w:p>
        </w:tc>
      </w:tr>
      <w:tr w:rsidR="00B84943" w:rsidRPr="004943B2" w14:paraId="6C239BEA" w14:textId="77777777" w:rsidTr="003D45F0">
        <w:trPr>
          <w:cantSplit/>
        </w:trPr>
        <w:tc>
          <w:tcPr>
            <w:tcW w:w="9864" w:type="dxa"/>
            <w:gridSpan w:val="5"/>
            <w:shd w:val="clear" w:color="auto" w:fill="EDE3D2"/>
          </w:tcPr>
          <w:p w14:paraId="5A077BC2" w14:textId="77777777" w:rsidR="00B84943" w:rsidRPr="004943B2" w:rsidRDefault="00B84943" w:rsidP="00CF1612">
            <w:pPr>
              <w:spacing w:before="40" w:after="40"/>
              <w:rPr>
                <w:rFonts w:asciiTheme="minorHAnsi" w:hAnsiTheme="minorHAnsi"/>
              </w:rPr>
            </w:pPr>
            <w:r w:rsidRPr="004943B2">
              <w:rPr>
                <w:rFonts w:asciiTheme="minorHAnsi" w:hAnsiTheme="minorHAnsi"/>
                <w:b/>
                <w:i/>
                <w:sz w:val="18"/>
              </w:rPr>
              <w:t>Only if: the land is GAIC land</w:t>
            </w:r>
          </w:p>
        </w:tc>
      </w:tr>
      <w:tr w:rsidR="00B84943" w:rsidRPr="004943B2" w14:paraId="1E572719" w14:textId="77777777" w:rsidTr="003D45F0">
        <w:trPr>
          <w:cantSplit/>
        </w:trPr>
        <w:tc>
          <w:tcPr>
            <w:tcW w:w="567" w:type="dxa"/>
          </w:tcPr>
          <w:p w14:paraId="2D214311" w14:textId="4BC098CD" w:rsidR="00B84943" w:rsidRPr="004943B2" w:rsidRDefault="001B4BAA" w:rsidP="00CF1612">
            <w:pPr>
              <w:spacing w:before="40" w:after="40"/>
              <w:rPr>
                <w:rFonts w:asciiTheme="minorHAnsi" w:hAnsiTheme="minorHAnsi"/>
              </w:rPr>
            </w:pPr>
            <w:r w:rsidRPr="004943B2">
              <w:rPr>
                <w:rFonts w:asciiTheme="minorHAnsi" w:hAnsiTheme="minorHAnsi"/>
                <w:b/>
                <w:sz w:val="18"/>
              </w:rPr>
              <w:t>60</w:t>
            </w:r>
          </w:p>
        </w:tc>
        <w:tc>
          <w:tcPr>
            <w:tcW w:w="850" w:type="dxa"/>
          </w:tcPr>
          <w:p w14:paraId="70169BBE"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7</w:t>
            </w:r>
          </w:p>
        </w:tc>
        <w:tc>
          <w:tcPr>
            <w:tcW w:w="5669" w:type="dxa"/>
          </w:tcPr>
          <w:p w14:paraId="2E61CD8C" w14:textId="77777777" w:rsidR="00B84943" w:rsidRPr="004943B2" w:rsidRDefault="00B84943" w:rsidP="00CF1612">
            <w:pPr>
              <w:spacing w:before="40" w:after="40"/>
              <w:rPr>
                <w:rFonts w:asciiTheme="minorHAnsi" w:hAnsiTheme="minorHAnsi"/>
              </w:rPr>
            </w:pPr>
            <w:r w:rsidRPr="004943B2">
              <w:rPr>
                <w:rFonts w:asciiTheme="minorHAnsi" w:hAnsiTheme="minorHAnsi"/>
              </w:rPr>
              <w:t>Information about any work-in-kind agreement is correctly disclosed.</w:t>
            </w:r>
          </w:p>
        </w:tc>
        <w:tc>
          <w:tcPr>
            <w:tcW w:w="850" w:type="dxa"/>
          </w:tcPr>
          <w:p w14:paraId="791741B5" w14:textId="155DEC0C" w:rsidR="00B84943" w:rsidRPr="004943B2" w:rsidRDefault="00B84943" w:rsidP="00CF1612">
            <w:pPr>
              <w:spacing w:before="40" w:after="40"/>
              <w:rPr>
                <w:rFonts w:asciiTheme="minorHAnsi" w:hAnsiTheme="minorHAnsi"/>
              </w:rPr>
            </w:pPr>
            <w:r w:rsidRPr="004943B2">
              <w:rPr>
                <w:rFonts w:asciiTheme="minorHAnsi" w:hAnsiTheme="minorHAnsi"/>
                <w:sz w:val="17"/>
              </w:rPr>
              <w:t>E33</w:t>
            </w:r>
          </w:p>
        </w:tc>
        <w:tc>
          <w:tcPr>
            <w:tcW w:w="1928" w:type="dxa"/>
          </w:tcPr>
          <w:p w14:paraId="0C40B265"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29088710"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47323765"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6C83FB93"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74DB83BA" w14:textId="77777777" w:rsidTr="003D45F0">
        <w:trPr>
          <w:cantSplit/>
        </w:trPr>
        <w:tc>
          <w:tcPr>
            <w:tcW w:w="567" w:type="dxa"/>
          </w:tcPr>
          <w:p w14:paraId="1083A4C1" w14:textId="36B2DA0C" w:rsidR="00B84943" w:rsidRPr="004943B2" w:rsidRDefault="00B84943" w:rsidP="00CF1612">
            <w:pPr>
              <w:spacing w:before="40" w:after="40"/>
              <w:rPr>
                <w:rFonts w:asciiTheme="minorHAnsi" w:hAnsiTheme="minorHAnsi"/>
              </w:rPr>
            </w:pPr>
            <w:r w:rsidRPr="004943B2">
              <w:rPr>
                <w:rFonts w:asciiTheme="minorHAnsi" w:hAnsiTheme="minorHAnsi"/>
                <w:b/>
                <w:sz w:val="18"/>
              </w:rPr>
              <w:t>6</w:t>
            </w:r>
            <w:r w:rsidR="001B4BAA" w:rsidRPr="004943B2">
              <w:rPr>
                <w:rFonts w:asciiTheme="minorHAnsi" w:hAnsiTheme="minorHAnsi"/>
                <w:b/>
                <w:sz w:val="18"/>
              </w:rPr>
              <w:t>1</w:t>
            </w:r>
          </w:p>
        </w:tc>
        <w:tc>
          <w:tcPr>
            <w:tcW w:w="850" w:type="dxa"/>
          </w:tcPr>
          <w:p w14:paraId="25543C35"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7</w:t>
            </w:r>
          </w:p>
        </w:tc>
        <w:tc>
          <w:tcPr>
            <w:tcW w:w="5669" w:type="dxa"/>
          </w:tcPr>
          <w:p w14:paraId="2B968AA8" w14:textId="77777777" w:rsidR="00B84943" w:rsidRPr="004943B2" w:rsidRDefault="00B84943" w:rsidP="00CF1612">
            <w:pPr>
              <w:spacing w:before="40" w:after="40"/>
              <w:rPr>
                <w:rFonts w:asciiTheme="minorHAnsi" w:hAnsiTheme="minorHAnsi"/>
              </w:rPr>
            </w:pPr>
            <w:r w:rsidRPr="004943B2">
              <w:rPr>
                <w:rFonts w:asciiTheme="minorHAnsi" w:hAnsiTheme="minorHAnsi"/>
              </w:rPr>
              <w:t>Any GAIC liability or GAIC details applying to the land are correctly disclosed.</w:t>
            </w:r>
          </w:p>
        </w:tc>
        <w:tc>
          <w:tcPr>
            <w:tcW w:w="850" w:type="dxa"/>
          </w:tcPr>
          <w:p w14:paraId="49521ADC" w14:textId="4F35395D" w:rsidR="00B84943" w:rsidRPr="004943B2" w:rsidRDefault="00B84943" w:rsidP="00CF1612">
            <w:pPr>
              <w:spacing w:before="40" w:after="40"/>
              <w:rPr>
                <w:rFonts w:asciiTheme="minorHAnsi" w:hAnsiTheme="minorHAnsi"/>
              </w:rPr>
            </w:pPr>
            <w:r w:rsidRPr="004943B2">
              <w:rPr>
                <w:rFonts w:asciiTheme="minorHAnsi" w:hAnsiTheme="minorHAnsi"/>
                <w:sz w:val="17"/>
              </w:rPr>
              <w:t>E33</w:t>
            </w:r>
          </w:p>
        </w:tc>
        <w:tc>
          <w:tcPr>
            <w:tcW w:w="1928" w:type="dxa"/>
          </w:tcPr>
          <w:p w14:paraId="6DDD3CDD"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5B74ED69"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2FC4AA31"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26C1D37F"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10C8BD78" w14:textId="77777777" w:rsidTr="003D45F0">
        <w:trPr>
          <w:cantSplit/>
        </w:trPr>
        <w:tc>
          <w:tcPr>
            <w:tcW w:w="567" w:type="dxa"/>
          </w:tcPr>
          <w:p w14:paraId="2459798C" w14:textId="0663D594" w:rsidR="00B84943" w:rsidRPr="004943B2" w:rsidRDefault="00B84943" w:rsidP="00CF1612">
            <w:pPr>
              <w:spacing w:before="40" w:after="40"/>
              <w:rPr>
                <w:rFonts w:asciiTheme="minorHAnsi" w:hAnsiTheme="minorHAnsi"/>
              </w:rPr>
            </w:pPr>
            <w:r w:rsidRPr="004943B2">
              <w:rPr>
                <w:rFonts w:asciiTheme="minorHAnsi" w:hAnsiTheme="minorHAnsi"/>
                <w:b/>
                <w:sz w:val="18"/>
              </w:rPr>
              <w:t>6</w:t>
            </w:r>
            <w:r w:rsidR="001B4BAA" w:rsidRPr="004943B2">
              <w:rPr>
                <w:rFonts w:asciiTheme="minorHAnsi" w:hAnsiTheme="minorHAnsi"/>
                <w:b/>
                <w:sz w:val="18"/>
              </w:rPr>
              <w:t>2</w:t>
            </w:r>
          </w:p>
        </w:tc>
        <w:tc>
          <w:tcPr>
            <w:tcW w:w="850" w:type="dxa"/>
          </w:tcPr>
          <w:p w14:paraId="1798B6D2"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7</w:t>
            </w:r>
          </w:p>
        </w:tc>
        <w:tc>
          <w:tcPr>
            <w:tcW w:w="5669" w:type="dxa"/>
          </w:tcPr>
          <w:p w14:paraId="58AA4A4A" w14:textId="77777777" w:rsidR="00B84943" w:rsidRPr="004943B2" w:rsidRDefault="00B84943" w:rsidP="00CF1612">
            <w:pPr>
              <w:spacing w:before="40" w:after="40"/>
              <w:rPr>
                <w:rFonts w:asciiTheme="minorHAnsi" w:hAnsiTheme="minorHAnsi"/>
              </w:rPr>
            </w:pPr>
            <w:r w:rsidRPr="004943B2">
              <w:rPr>
                <w:rFonts w:asciiTheme="minorHAnsi" w:hAnsiTheme="minorHAnsi"/>
              </w:rPr>
              <w:t>A GAIC certificate has been obtained from the SRO and annexed.</w:t>
            </w:r>
          </w:p>
        </w:tc>
        <w:tc>
          <w:tcPr>
            <w:tcW w:w="850" w:type="dxa"/>
          </w:tcPr>
          <w:p w14:paraId="17F0D4F9" w14:textId="47E676AE" w:rsidR="00B84943" w:rsidRPr="004943B2" w:rsidRDefault="00B84943" w:rsidP="00CF1612">
            <w:pPr>
              <w:spacing w:before="40" w:after="40"/>
              <w:rPr>
                <w:rFonts w:asciiTheme="minorHAnsi" w:hAnsiTheme="minorHAnsi"/>
              </w:rPr>
            </w:pPr>
            <w:r w:rsidRPr="004943B2">
              <w:rPr>
                <w:rFonts w:asciiTheme="minorHAnsi" w:hAnsiTheme="minorHAnsi"/>
                <w:sz w:val="17"/>
              </w:rPr>
              <w:t>E33</w:t>
            </w:r>
          </w:p>
        </w:tc>
        <w:tc>
          <w:tcPr>
            <w:tcW w:w="1928" w:type="dxa"/>
          </w:tcPr>
          <w:p w14:paraId="0D271101"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2EC3FDD9"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2FEE474C"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633203CD"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6B0ED146" w14:textId="77777777" w:rsidTr="003D45F0">
        <w:trPr>
          <w:cantSplit/>
        </w:trPr>
        <w:tc>
          <w:tcPr>
            <w:tcW w:w="9864" w:type="dxa"/>
            <w:gridSpan w:val="5"/>
            <w:shd w:val="clear" w:color="auto" w:fill="EDE3D2"/>
          </w:tcPr>
          <w:p w14:paraId="001970F3" w14:textId="77777777" w:rsidR="00B84943" w:rsidRPr="004943B2" w:rsidRDefault="00B84943" w:rsidP="00CF1612">
            <w:pPr>
              <w:spacing w:before="40" w:after="40"/>
              <w:rPr>
                <w:rFonts w:asciiTheme="minorHAnsi" w:hAnsiTheme="minorHAnsi"/>
              </w:rPr>
            </w:pPr>
            <w:r w:rsidRPr="004943B2">
              <w:rPr>
                <w:rFonts w:asciiTheme="minorHAnsi" w:hAnsiTheme="minorHAnsi"/>
                <w:b/>
                <w:i/>
                <w:sz w:val="18"/>
              </w:rPr>
              <w:t>End of GAIC block</w:t>
            </w:r>
          </w:p>
        </w:tc>
      </w:tr>
      <w:tr w:rsidR="00B84943" w:rsidRPr="004943B2" w14:paraId="594814FB" w14:textId="77777777" w:rsidTr="003D45F0">
        <w:trPr>
          <w:cantSplit/>
        </w:trPr>
        <w:tc>
          <w:tcPr>
            <w:tcW w:w="9864" w:type="dxa"/>
            <w:gridSpan w:val="5"/>
            <w:shd w:val="clear" w:color="auto" w:fill="E4E8F0"/>
          </w:tcPr>
          <w:p w14:paraId="327F50B6" w14:textId="5EE8A06C" w:rsidR="00B84943" w:rsidRPr="004943B2" w:rsidRDefault="00B84943" w:rsidP="00CF1612">
            <w:pPr>
              <w:spacing w:before="40" w:after="40"/>
              <w:rPr>
                <w:rFonts w:asciiTheme="minorHAnsi" w:hAnsiTheme="minorHAnsi"/>
              </w:rPr>
            </w:pPr>
            <w:r w:rsidRPr="004943B2">
              <w:rPr>
                <w:rFonts w:asciiTheme="minorHAnsi" w:hAnsiTheme="minorHAnsi"/>
                <w:b/>
                <w:color w:val="1F3364"/>
                <w:sz w:val="20"/>
              </w:rPr>
              <w:t>Services</w:t>
            </w:r>
          </w:p>
        </w:tc>
      </w:tr>
      <w:tr w:rsidR="00B84943" w:rsidRPr="004943B2" w14:paraId="4A06AC28" w14:textId="77777777" w:rsidTr="003D45F0">
        <w:trPr>
          <w:cantSplit/>
        </w:trPr>
        <w:tc>
          <w:tcPr>
            <w:tcW w:w="567" w:type="dxa"/>
          </w:tcPr>
          <w:p w14:paraId="3D59CA3C" w14:textId="3F0552BA" w:rsidR="00B84943" w:rsidRPr="004943B2" w:rsidRDefault="00B84943" w:rsidP="00CF1612">
            <w:pPr>
              <w:spacing w:before="40" w:after="40"/>
              <w:rPr>
                <w:rFonts w:asciiTheme="minorHAnsi" w:hAnsiTheme="minorHAnsi"/>
              </w:rPr>
            </w:pPr>
            <w:r w:rsidRPr="004943B2">
              <w:rPr>
                <w:rFonts w:asciiTheme="minorHAnsi" w:hAnsiTheme="minorHAnsi"/>
                <w:b/>
                <w:sz w:val="18"/>
              </w:rPr>
              <w:lastRenderedPageBreak/>
              <w:t>6</w:t>
            </w:r>
            <w:r w:rsidR="001B4BAA" w:rsidRPr="004943B2">
              <w:rPr>
                <w:rFonts w:asciiTheme="minorHAnsi" w:hAnsiTheme="minorHAnsi"/>
                <w:b/>
                <w:sz w:val="18"/>
              </w:rPr>
              <w:t>3</w:t>
            </w:r>
          </w:p>
        </w:tc>
        <w:tc>
          <w:tcPr>
            <w:tcW w:w="850" w:type="dxa"/>
          </w:tcPr>
          <w:p w14:paraId="38B02C99"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8</w:t>
            </w:r>
          </w:p>
        </w:tc>
        <w:tc>
          <w:tcPr>
            <w:tcW w:w="5669" w:type="dxa"/>
          </w:tcPr>
          <w:p w14:paraId="59ABCA63" w14:textId="6F63DF81" w:rsidR="00B84943" w:rsidRPr="004943B2" w:rsidRDefault="00B84943" w:rsidP="00CF1612">
            <w:pPr>
              <w:spacing w:before="40" w:after="40"/>
              <w:rPr>
                <w:rFonts w:asciiTheme="minorHAnsi" w:hAnsiTheme="minorHAnsi"/>
              </w:rPr>
            </w:pPr>
            <w:r w:rsidRPr="004943B2">
              <w:rPr>
                <w:rFonts w:asciiTheme="minorHAnsi" w:hAnsiTheme="minorHAnsi"/>
              </w:rPr>
              <w:t xml:space="preserve">The </w:t>
            </w:r>
            <w:r w:rsidRPr="004943B2">
              <w:rPr>
                <w:rFonts w:asciiTheme="minorHAnsi" w:hAnsiTheme="minorHAnsi"/>
                <w:b/>
                <w:bCs/>
              </w:rPr>
              <w:t>services</w:t>
            </w:r>
            <w:r w:rsidRPr="004943B2">
              <w:rPr>
                <w:rFonts w:asciiTheme="minorHAnsi" w:hAnsiTheme="minorHAnsi"/>
              </w:rPr>
              <w:t xml:space="preserve"> not connected to the land have been checked against the client’s instructions and the certificates.</w:t>
            </w:r>
          </w:p>
        </w:tc>
        <w:tc>
          <w:tcPr>
            <w:tcW w:w="850" w:type="dxa"/>
          </w:tcPr>
          <w:p w14:paraId="2E802BE1" w14:textId="65824016" w:rsidR="00B84943" w:rsidRPr="004943B2" w:rsidRDefault="00B84943" w:rsidP="00CF1612">
            <w:pPr>
              <w:spacing w:before="40" w:after="40"/>
              <w:rPr>
                <w:rFonts w:asciiTheme="minorHAnsi" w:hAnsiTheme="minorHAnsi"/>
              </w:rPr>
            </w:pPr>
            <w:r w:rsidRPr="004943B2">
              <w:rPr>
                <w:rFonts w:asciiTheme="minorHAnsi" w:hAnsiTheme="minorHAnsi"/>
                <w:sz w:val="17"/>
              </w:rPr>
              <w:t>E34</w:t>
            </w:r>
          </w:p>
        </w:tc>
        <w:tc>
          <w:tcPr>
            <w:tcW w:w="1928" w:type="dxa"/>
          </w:tcPr>
          <w:p w14:paraId="06203082"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1BF18F92"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1D1D8B30"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11717E4B"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E455B8" w:rsidRPr="004943B2" w14:paraId="29322E51" w14:textId="77777777" w:rsidTr="00ED3F00">
        <w:trPr>
          <w:cantSplit/>
        </w:trPr>
        <w:tc>
          <w:tcPr>
            <w:tcW w:w="9864" w:type="dxa"/>
            <w:gridSpan w:val="5"/>
            <w:shd w:val="clear" w:color="auto" w:fill="E4E8F0"/>
          </w:tcPr>
          <w:p w14:paraId="0E2B2B8B" w14:textId="28107D61" w:rsidR="00E455B8" w:rsidRPr="004943B2" w:rsidRDefault="00E455B8" w:rsidP="00ED3F00">
            <w:pPr>
              <w:spacing w:before="40" w:after="40"/>
              <w:rPr>
                <w:rFonts w:asciiTheme="minorHAnsi" w:hAnsiTheme="minorHAnsi"/>
              </w:rPr>
            </w:pPr>
            <w:r w:rsidRPr="004943B2">
              <w:rPr>
                <w:rFonts w:asciiTheme="minorHAnsi" w:hAnsiTheme="minorHAnsi"/>
                <w:b/>
                <w:color w:val="1F3364"/>
                <w:sz w:val="20"/>
              </w:rPr>
              <w:t>Vendor’s right or power to sell the land</w:t>
            </w:r>
          </w:p>
        </w:tc>
      </w:tr>
      <w:tr w:rsidR="00E455B8" w:rsidRPr="004943B2" w14:paraId="2B0816B2" w14:textId="77777777" w:rsidTr="00ED3F00">
        <w:trPr>
          <w:cantSplit/>
        </w:trPr>
        <w:tc>
          <w:tcPr>
            <w:tcW w:w="9864" w:type="dxa"/>
            <w:gridSpan w:val="5"/>
            <w:shd w:val="clear" w:color="auto" w:fill="EDE3D2"/>
          </w:tcPr>
          <w:p w14:paraId="0F437C66" w14:textId="03C830CC" w:rsidR="00E455B8" w:rsidRPr="004943B2" w:rsidRDefault="00E455B8" w:rsidP="00ED3F00">
            <w:pPr>
              <w:spacing w:before="40" w:after="40"/>
              <w:rPr>
                <w:rFonts w:asciiTheme="minorHAnsi" w:hAnsiTheme="minorHAnsi"/>
              </w:rPr>
            </w:pPr>
            <w:r w:rsidRPr="004943B2">
              <w:rPr>
                <w:rFonts w:asciiTheme="minorHAnsi" w:hAnsiTheme="minorHAnsi"/>
                <w:b/>
                <w:i/>
                <w:sz w:val="18"/>
                <w:szCs w:val="18"/>
              </w:rPr>
              <w:t xml:space="preserve">Only if: </w:t>
            </w:r>
            <w:r w:rsidRPr="004943B2">
              <w:rPr>
                <w:rFonts w:asciiTheme="minorHAnsi" w:hAnsiTheme="minorHAnsi"/>
                <w:b/>
                <w:bCs/>
                <w:i/>
                <w:iCs/>
              </w:rPr>
              <w:t>the vendor is not the registered proprietor of the land</w:t>
            </w:r>
          </w:p>
        </w:tc>
      </w:tr>
      <w:tr w:rsidR="005A366D" w:rsidRPr="004943B2" w14:paraId="227A193C" w14:textId="77777777" w:rsidTr="003D45F0">
        <w:trPr>
          <w:cantSplit/>
        </w:trPr>
        <w:tc>
          <w:tcPr>
            <w:tcW w:w="567" w:type="dxa"/>
          </w:tcPr>
          <w:p w14:paraId="127F18C5" w14:textId="43DC6C73" w:rsidR="005A366D" w:rsidRPr="004943B2" w:rsidRDefault="00E455B8" w:rsidP="00CF1612">
            <w:pPr>
              <w:spacing w:before="40" w:after="40"/>
              <w:rPr>
                <w:rFonts w:asciiTheme="minorHAnsi" w:hAnsiTheme="minorHAnsi"/>
                <w:b/>
                <w:sz w:val="18"/>
              </w:rPr>
            </w:pPr>
            <w:r w:rsidRPr="004943B2">
              <w:rPr>
                <w:rFonts w:asciiTheme="minorHAnsi" w:hAnsiTheme="minorHAnsi"/>
                <w:b/>
                <w:sz w:val="18"/>
              </w:rPr>
              <w:t>64</w:t>
            </w:r>
          </w:p>
        </w:tc>
        <w:tc>
          <w:tcPr>
            <w:tcW w:w="850" w:type="dxa"/>
          </w:tcPr>
          <w:p w14:paraId="30E60952" w14:textId="3E373EEE" w:rsidR="005A366D" w:rsidRPr="004943B2" w:rsidRDefault="00E455B8" w:rsidP="00CF1612">
            <w:pPr>
              <w:spacing w:before="40" w:after="40"/>
              <w:rPr>
                <w:rFonts w:asciiTheme="minorHAnsi" w:hAnsiTheme="minorHAnsi"/>
                <w:i/>
                <w:sz w:val="17"/>
              </w:rPr>
            </w:pPr>
            <w:r w:rsidRPr="004943B2">
              <w:rPr>
                <w:rFonts w:asciiTheme="minorHAnsi" w:hAnsiTheme="minorHAnsi"/>
                <w:i/>
                <w:sz w:val="17"/>
              </w:rPr>
              <w:t>9</w:t>
            </w:r>
            <w:r w:rsidR="00E92C44" w:rsidRPr="004943B2">
              <w:rPr>
                <w:rFonts w:asciiTheme="minorHAnsi" w:hAnsiTheme="minorHAnsi"/>
                <w:i/>
                <w:sz w:val="17"/>
              </w:rPr>
              <w:t>.2</w:t>
            </w:r>
          </w:p>
        </w:tc>
        <w:tc>
          <w:tcPr>
            <w:tcW w:w="5669" w:type="dxa"/>
          </w:tcPr>
          <w:p w14:paraId="04005AC5" w14:textId="0B2E32E5" w:rsidR="005A366D" w:rsidRPr="004943B2" w:rsidRDefault="005A366D" w:rsidP="00CF1612">
            <w:pPr>
              <w:spacing w:before="40" w:after="40"/>
              <w:rPr>
                <w:rFonts w:asciiTheme="minorHAnsi" w:hAnsiTheme="minorHAnsi"/>
              </w:rPr>
            </w:pPr>
            <w:r w:rsidRPr="004943B2">
              <w:rPr>
                <w:rFonts w:asciiTheme="minorHAnsi" w:hAnsiTheme="minorHAnsi"/>
              </w:rPr>
              <w:t xml:space="preserve">Where the vendor is not the registered proprietor of the land, </w:t>
            </w:r>
            <w:r w:rsidR="00BA1AEB" w:rsidRPr="004943B2">
              <w:rPr>
                <w:rFonts w:asciiTheme="minorHAnsi" w:hAnsiTheme="minorHAnsi"/>
              </w:rPr>
              <w:t>evidence of the vendor’s right or power to sell is</w:t>
            </w:r>
            <w:r w:rsidR="008613EB" w:rsidRPr="004943B2">
              <w:rPr>
                <w:rFonts w:asciiTheme="minorHAnsi" w:hAnsiTheme="minorHAnsi"/>
              </w:rPr>
              <w:t xml:space="preserve"> annexed to </w:t>
            </w:r>
            <w:proofErr w:type="gramStart"/>
            <w:r w:rsidR="008613EB" w:rsidRPr="004943B2">
              <w:rPr>
                <w:rFonts w:asciiTheme="minorHAnsi" w:hAnsiTheme="minorHAnsi"/>
              </w:rPr>
              <w:t>the section</w:t>
            </w:r>
            <w:proofErr w:type="gramEnd"/>
            <w:r w:rsidR="008613EB" w:rsidRPr="004943B2">
              <w:rPr>
                <w:rFonts w:asciiTheme="minorHAnsi" w:hAnsiTheme="minorHAnsi"/>
              </w:rPr>
              <w:t xml:space="preserve"> 32 statement</w:t>
            </w:r>
            <w:r w:rsidR="00927CE6" w:rsidRPr="004943B2">
              <w:rPr>
                <w:rFonts w:asciiTheme="minorHAnsi" w:hAnsiTheme="minorHAnsi"/>
              </w:rPr>
              <w:t xml:space="preserve"> </w:t>
            </w:r>
            <w:r w:rsidR="00265D5F" w:rsidRPr="004943B2">
              <w:rPr>
                <w:rFonts w:asciiTheme="minorHAnsi" w:hAnsiTheme="minorHAnsi"/>
              </w:rPr>
              <w:t>(</w:t>
            </w:r>
            <w:proofErr w:type="spellStart"/>
            <w:r w:rsidR="00265D5F" w:rsidRPr="004943B2">
              <w:rPr>
                <w:rFonts w:asciiTheme="minorHAnsi" w:hAnsiTheme="minorHAnsi"/>
              </w:rPr>
              <w:t>eg</w:t>
            </w:r>
            <w:proofErr w:type="spellEnd"/>
            <w:r w:rsidR="00265D5F" w:rsidRPr="004943B2">
              <w:rPr>
                <w:rFonts w:asciiTheme="minorHAnsi" w:hAnsiTheme="minorHAnsi"/>
              </w:rPr>
              <w:t xml:space="preserve"> grant of probate, power of attorney).</w:t>
            </w:r>
          </w:p>
        </w:tc>
        <w:tc>
          <w:tcPr>
            <w:tcW w:w="850" w:type="dxa"/>
          </w:tcPr>
          <w:p w14:paraId="1CA6F216" w14:textId="74B32985" w:rsidR="005A366D" w:rsidRPr="004943B2" w:rsidRDefault="00234844" w:rsidP="00CF1612">
            <w:pPr>
              <w:spacing w:before="40" w:after="40"/>
              <w:rPr>
                <w:rFonts w:asciiTheme="minorHAnsi" w:hAnsiTheme="minorHAnsi"/>
                <w:sz w:val="17"/>
              </w:rPr>
            </w:pPr>
            <w:r w:rsidRPr="004943B2">
              <w:rPr>
                <w:rFonts w:asciiTheme="minorHAnsi" w:hAnsiTheme="minorHAnsi"/>
                <w:sz w:val="17"/>
              </w:rPr>
              <w:t>E3</w:t>
            </w:r>
          </w:p>
        </w:tc>
        <w:tc>
          <w:tcPr>
            <w:tcW w:w="1928" w:type="dxa"/>
          </w:tcPr>
          <w:p w14:paraId="03D07D61" w14:textId="77777777" w:rsidR="008613EB" w:rsidRPr="004943B2" w:rsidRDefault="008613EB" w:rsidP="008613EB">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7066A27D" w14:textId="77777777" w:rsidR="008613EB" w:rsidRPr="004943B2" w:rsidRDefault="008613EB" w:rsidP="008613EB">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2C7494B7" w14:textId="77777777" w:rsidR="008613EB" w:rsidRPr="004943B2" w:rsidRDefault="008613EB" w:rsidP="008613EB">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4BA20A83" w14:textId="77777777" w:rsidR="005A366D" w:rsidRPr="004943B2" w:rsidRDefault="005A366D" w:rsidP="00CF1612">
            <w:pPr>
              <w:spacing w:after="0"/>
              <w:rPr>
                <w:rFonts w:asciiTheme="minorHAnsi" w:hAnsiTheme="minorHAnsi"/>
                <w:sz w:val="18"/>
              </w:rPr>
            </w:pPr>
          </w:p>
        </w:tc>
      </w:tr>
      <w:tr w:rsidR="00F417BD" w:rsidRPr="004943B2" w14:paraId="51D44BB0" w14:textId="77777777" w:rsidTr="00ED3F00">
        <w:trPr>
          <w:cantSplit/>
        </w:trPr>
        <w:tc>
          <w:tcPr>
            <w:tcW w:w="9864" w:type="dxa"/>
            <w:gridSpan w:val="5"/>
            <w:shd w:val="clear" w:color="auto" w:fill="EDE3D2"/>
          </w:tcPr>
          <w:p w14:paraId="1B4C1BD4" w14:textId="01E910CA" w:rsidR="00F417BD" w:rsidRPr="004943B2" w:rsidRDefault="00F417BD" w:rsidP="00ED3F00">
            <w:pPr>
              <w:spacing w:before="40" w:after="40"/>
              <w:rPr>
                <w:rFonts w:asciiTheme="minorHAnsi" w:hAnsiTheme="minorHAnsi"/>
              </w:rPr>
            </w:pPr>
            <w:r w:rsidRPr="004943B2">
              <w:rPr>
                <w:rFonts w:asciiTheme="minorHAnsi" w:hAnsiTheme="minorHAnsi"/>
                <w:b/>
                <w:i/>
                <w:sz w:val="18"/>
              </w:rPr>
              <w:t>End of vendor’s right or power to sell</w:t>
            </w:r>
            <w:r w:rsidR="00305865" w:rsidRPr="004943B2">
              <w:rPr>
                <w:rFonts w:asciiTheme="minorHAnsi" w:hAnsiTheme="minorHAnsi"/>
                <w:b/>
                <w:i/>
                <w:sz w:val="18"/>
              </w:rPr>
              <w:t xml:space="preserve"> the land</w:t>
            </w:r>
            <w:r w:rsidRPr="004943B2">
              <w:rPr>
                <w:rFonts w:asciiTheme="minorHAnsi" w:hAnsiTheme="minorHAnsi"/>
                <w:b/>
                <w:i/>
                <w:sz w:val="18"/>
              </w:rPr>
              <w:t xml:space="preserve"> block</w:t>
            </w:r>
          </w:p>
        </w:tc>
      </w:tr>
      <w:tr w:rsidR="00B84943" w:rsidRPr="004943B2" w14:paraId="1E3F468C" w14:textId="77777777" w:rsidTr="003D45F0">
        <w:trPr>
          <w:cantSplit/>
        </w:trPr>
        <w:tc>
          <w:tcPr>
            <w:tcW w:w="9864" w:type="dxa"/>
            <w:gridSpan w:val="5"/>
            <w:shd w:val="clear" w:color="auto" w:fill="E4E8F0"/>
          </w:tcPr>
          <w:p w14:paraId="7D075B1C" w14:textId="74BE2119" w:rsidR="00B84943" w:rsidRPr="004943B2" w:rsidRDefault="00B84943" w:rsidP="00CF1612">
            <w:pPr>
              <w:spacing w:before="40" w:after="40"/>
              <w:rPr>
                <w:rFonts w:asciiTheme="minorHAnsi" w:hAnsiTheme="minorHAnsi"/>
              </w:rPr>
            </w:pPr>
            <w:r w:rsidRPr="004943B2">
              <w:rPr>
                <w:rFonts w:asciiTheme="minorHAnsi" w:hAnsiTheme="minorHAnsi"/>
                <w:b/>
                <w:color w:val="1F3364"/>
                <w:sz w:val="20"/>
              </w:rPr>
              <w:t>Subdivision</w:t>
            </w:r>
          </w:p>
        </w:tc>
      </w:tr>
      <w:tr w:rsidR="00B84943" w:rsidRPr="004943B2" w14:paraId="285D4BB5" w14:textId="77777777" w:rsidTr="003D45F0">
        <w:trPr>
          <w:cantSplit/>
        </w:trPr>
        <w:tc>
          <w:tcPr>
            <w:tcW w:w="9864" w:type="dxa"/>
            <w:gridSpan w:val="5"/>
            <w:shd w:val="clear" w:color="auto" w:fill="EDE3D2"/>
          </w:tcPr>
          <w:p w14:paraId="7C82289F" w14:textId="365EB0AC" w:rsidR="00B84943" w:rsidRPr="004943B2" w:rsidRDefault="00B84943" w:rsidP="00CF1612">
            <w:pPr>
              <w:spacing w:before="40" w:after="40"/>
              <w:rPr>
                <w:rFonts w:asciiTheme="minorHAnsi" w:hAnsiTheme="minorHAnsi"/>
              </w:rPr>
            </w:pPr>
            <w:r w:rsidRPr="004943B2">
              <w:rPr>
                <w:rFonts w:asciiTheme="minorHAnsi" w:hAnsiTheme="minorHAnsi"/>
                <w:b/>
                <w:i/>
                <w:sz w:val="18"/>
                <w:szCs w:val="18"/>
              </w:rPr>
              <w:t>Only if: off the plan or an unregistered plan of subdivision</w:t>
            </w:r>
          </w:p>
        </w:tc>
      </w:tr>
      <w:tr w:rsidR="00B84943" w:rsidRPr="004943B2" w14:paraId="43D8E3C6" w14:textId="77777777" w:rsidTr="003D45F0">
        <w:trPr>
          <w:cantSplit/>
        </w:trPr>
        <w:tc>
          <w:tcPr>
            <w:tcW w:w="567" w:type="dxa"/>
          </w:tcPr>
          <w:p w14:paraId="1E2E209E" w14:textId="26D47BF2" w:rsidR="00B84943" w:rsidRPr="004943B2" w:rsidRDefault="00B84943" w:rsidP="00CF1612">
            <w:pPr>
              <w:spacing w:before="40" w:after="40"/>
              <w:rPr>
                <w:rFonts w:asciiTheme="minorHAnsi" w:hAnsiTheme="minorHAnsi"/>
              </w:rPr>
            </w:pPr>
            <w:r w:rsidRPr="004943B2">
              <w:rPr>
                <w:rFonts w:asciiTheme="minorHAnsi" w:hAnsiTheme="minorHAnsi"/>
                <w:b/>
                <w:sz w:val="18"/>
              </w:rPr>
              <w:t>6</w:t>
            </w:r>
            <w:r w:rsidR="00927CE6" w:rsidRPr="004943B2">
              <w:rPr>
                <w:rFonts w:asciiTheme="minorHAnsi" w:hAnsiTheme="minorHAnsi"/>
                <w:b/>
                <w:sz w:val="18"/>
              </w:rPr>
              <w:t>5</w:t>
            </w:r>
          </w:p>
        </w:tc>
        <w:tc>
          <w:tcPr>
            <w:tcW w:w="850" w:type="dxa"/>
          </w:tcPr>
          <w:p w14:paraId="6AA61A46"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10.1</w:t>
            </w:r>
          </w:p>
        </w:tc>
        <w:tc>
          <w:tcPr>
            <w:tcW w:w="5669" w:type="dxa"/>
          </w:tcPr>
          <w:p w14:paraId="014AD736" w14:textId="31CC45D5" w:rsidR="00B84943" w:rsidRPr="004943B2" w:rsidRDefault="00B84943" w:rsidP="00CF1612">
            <w:pPr>
              <w:spacing w:before="40" w:after="40"/>
              <w:rPr>
                <w:rFonts w:asciiTheme="minorHAnsi" w:hAnsiTheme="minorHAnsi"/>
              </w:rPr>
            </w:pPr>
            <w:r w:rsidRPr="004943B2">
              <w:rPr>
                <w:rFonts w:asciiTheme="minorHAnsi" w:hAnsiTheme="minorHAnsi"/>
              </w:rPr>
              <w:t>Where the land is subject to an unregistered subdivision, a copy of latest version of the unregistered plan of subdivision or the certified unregistered plan of subdivision is attached and the required particulars are disclosed.</w:t>
            </w:r>
          </w:p>
        </w:tc>
        <w:tc>
          <w:tcPr>
            <w:tcW w:w="850" w:type="dxa"/>
          </w:tcPr>
          <w:p w14:paraId="2F2ED5AF"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E20</w:t>
            </w:r>
          </w:p>
        </w:tc>
        <w:tc>
          <w:tcPr>
            <w:tcW w:w="1928" w:type="dxa"/>
          </w:tcPr>
          <w:p w14:paraId="32C874B7"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4F32632A"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5B1319CF"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06D210BD"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203CCA72" w14:textId="77777777" w:rsidTr="003D45F0">
        <w:trPr>
          <w:cantSplit/>
        </w:trPr>
        <w:tc>
          <w:tcPr>
            <w:tcW w:w="567" w:type="dxa"/>
          </w:tcPr>
          <w:p w14:paraId="72A6F6D9" w14:textId="641E7A60" w:rsidR="00B84943" w:rsidRPr="004943B2" w:rsidRDefault="001B4BAA" w:rsidP="00CF1612">
            <w:pPr>
              <w:spacing w:before="40" w:after="40"/>
              <w:rPr>
                <w:rFonts w:asciiTheme="minorHAnsi" w:hAnsiTheme="minorHAnsi"/>
              </w:rPr>
            </w:pPr>
            <w:r w:rsidRPr="004943B2">
              <w:rPr>
                <w:rFonts w:asciiTheme="minorHAnsi" w:hAnsiTheme="minorHAnsi"/>
                <w:b/>
                <w:sz w:val="18"/>
              </w:rPr>
              <w:t>6</w:t>
            </w:r>
            <w:r w:rsidR="00927CE6" w:rsidRPr="004943B2">
              <w:rPr>
                <w:rFonts w:asciiTheme="minorHAnsi" w:hAnsiTheme="minorHAnsi"/>
                <w:b/>
                <w:sz w:val="18"/>
              </w:rPr>
              <w:t>6</w:t>
            </w:r>
          </w:p>
        </w:tc>
        <w:tc>
          <w:tcPr>
            <w:tcW w:w="850" w:type="dxa"/>
          </w:tcPr>
          <w:p w14:paraId="0A58CD75"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10.2</w:t>
            </w:r>
          </w:p>
        </w:tc>
        <w:tc>
          <w:tcPr>
            <w:tcW w:w="5669" w:type="dxa"/>
          </w:tcPr>
          <w:p w14:paraId="0BCEC744" w14:textId="5676C289" w:rsidR="00B84943" w:rsidRPr="004943B2" w:rsidRDefault="00B84943" w:rsidP="00CF1612">
            <w:pPr>
              <w:spacing w:before="40" w:after="40"/>
              <w:rPr>
                <w:rFonts w:asciiTheme="minorHAnsi" w:hAnsiTheme="minorHAnsi"/>
              </w:rPr>
            </w:pPr>
            <w:r w:rsidRPr="004943B2">
              <w:rPr>
                <w:rFonts w:asciiTheme="minorHAnsi" w:hAnsiTheme="minorHAnsi"/>
              </w:rPr>
              <w:t xml:space="preserve">Where the land is part of a </w:t>
            </w:r>
            <w:r w:rsidRPr="004943B2">
              <w:rPr>
                <w:rFonts w:asciiTheme="minorHAnsi" w:hAnsiTheme="minorHAnsi"/>
                <w:b/>
                <w:bCs/>
              </w:rPr>
              <w:t>staged</w:t>
            </w:r>
            <w:r w:rsidRPr="004943B2">
              <w:rPr>
                <w:rFonts w:asciiTheme="minorHAnsi" w:hAnsiTheme="minorHAnsi"/>
              </w:rPr>
              <w:t xml:space="preserve"> subdivision, the required particulars are disclosed, and relevant document</w:t>
            </w:r>
            <w:r w:rsidR="00AF657E" w:rsidRPr="004943B2">
              <w:rPr>
                <w:rFonts w:asciiTheme="minorHAnsi" w:hAnsiTheme="minorHAnsi"/>
              </w:rPr>
              <w:t>s</w:t>
            </w:r>
            <w:r w:rsidRPr="004943B2">
              <w:rPr>
                <w:rFonts w:asciiTheme="minorHAnsi" w:hAnsiTheme="minorHAnsi"/>
              </w:rPr>
              <w:t xml:space="preserve"> annexed.</w:t>
            </w:r>
          </w:p>
        </w:tc>
        <w:tc>
          <w:tcPr>
            <w:tcW w:w="850" w:type="dxa"/>
          </w:tcPr>
          <w:p w14:paraId="16BF334E"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E20</w:t>
            </w:r>
          </w:p>
        </w:tc>
        <w:tc>
          <w:tcPr>
            <w:tcW w:w="1928" w:type="dxa"/>
          </w:tcPr>
          <w:p w14:paraId="401FE245"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22384DFB"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651452A6"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57B39A8C"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5BEAFBE3" w14:textId="77777777" w:rsidTr="003D45F0">
        <w:trPr>
          <w:cantSplit/>
        </w:trPr>
        <w:tc>
          <w:tcPr>
            <w:tcW w:w="567" w:type="dxa"/>
          </w:tcPr>
          <w:p w14:paraId="572F4C3B" w14:textId="214B1046" w:rsidR="00B84943" w:rsidRPr="004943B2" w:rsidRDefault="001B4BAA" w:rsidP="00CF1612">
            <w:pPr>
              <w:spacing w:before="40" w:after="40"/>
              <w:rPr>
                <w:rFonts w:asciiTheme="minorHAnsi" w:hAnsiTheme="minorHAnsi"/>
              </w:rPr>
            </w:pPr>
            <w:r w:rsidRPr="004943B2">
              <w:rPr>
                <w:rFonts w:asciiTheme="minorHAnsi" w:hAnsiTheme="minorHAnsi"/>
                <w:b/>
                <w:sz w:val="18"/>
              </w:rPr>
              <w:t>6</w:t>
            </w:r>
            <w:r w:rsidR="00927CE6" w:rsidRPr="004943B2">
              <w:rPr>
                <w:rFonts w:asciiTheme="minorHAnsi" w:hAnsiTheme="minorHAnsi"/>
                <w:b/>
                <w:sz w:val="18"/>
              </w:rPr>
              <w:t>7</w:t>
            </w:r>
          </w:p>
        </w:tc>
        <w:tc>
          <w:tcPr>
            <w:tcW w:w="850" w:type="dxa"/>
          </w:tcPr>
          <w:p w14:paraId="4C8C64F3"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10.3</w:t>
            </w:r>
          </w:p>
        </w:tc>
        <w:tc>
          <w:tcPr>
            <w:tcW w:w="5669" w:type="dxa"/>
          </w:tcPr>
          <w:p w14:paraId="41099F3C" w14:textId="207A4103" w:rsidR="00B84943" w:rsidRPr="004943B2" w:rsidRDefault="00B84943" w:rsidP="00CF1612">
            <w:pPr>
              <w:spacing w:before="40" w:after="40"/>
              <w:rPr>
                <w:rFonts w:asciiTheme="minorHAnsi" w:hAnsiTheme="minorHAnsi"/>
              </w:rPr>
            </w:pPr>
            <w:r w:rsidRPr="004943B2">
              <w:rPr>
                <w:rFonts w:asciiTheme="minorHAnsi" w:hAnsiTheme="minorHAnsi"/>
              </w:rPr>
              <w:t xml:space="preserve">Where a </w:t>
            </w:r>
            <w:r w:rsidRPr="004943B2">
              <w:rPr>
                <w:rFonts w:asciiTheme="minorHAnsi" w:hAnsiTheme="minorHAnsi"/>
                <w:b/>
                <w:bCs/>
              </w:rPr>
              <w:t>further plan</w:t>
            </w:r>
            <w:r w:rsidRPr="004943B2">
              <w:rPr>
                <w:rFonts w:asciiTheme="minorHAnsi" w:hAnsiTheme="minorHAnsi"/>
                <w:b/>
              </w:rPr>
              <w:t xml:space="preserve"> </w:t>
            </w:r>
            <w:r w:rsidRPr="004943B2">
              <w:rPr>
                <w:rFonts w:asciiTheme="minorHAnsi" w:hAnsiTheme="minorHAnsi"/>
                <w:b/>
                <w:bCs/>
              </w:rPr>
              <w:t>of subdivision</w:t>
            </w:r>
            <w:r w:rsidRPr="004943B2">
              <w:rPr>
                <w:rFonts w:asciiTheme="minorHAnsi" w:hAnsiTheme="minorHAnsi"/>
              </w:rPr>
              <w:t xml:space="preserve"> is proposed, the required particulars are disclosed, and relevant documents annexed.</w:t>
            </w:r>
          </w:p>
        </w:tc>
        <w:tc>
          <w:tcPr>
            <w:tcW w:w="850" w:type="dxa"/>
          </w:tcPr>
          <w:p w14:paraId="292E9C49"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E20</w:t>
            </w:r>
          </w:p>
        </w:tc>
        <w:tc>
          <w:tcPr>
            <w:tcW w:w="1928" w:type="dxa"/>
          </w:tcPr>
          <w:p w14:paraId="7C2E6E0A"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1C406774"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6DCD7D51"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7F4D84C2"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B84943" w:rsidRPr="004943B2" w14:paraId="5F84911B" w14:textId="77777777" w:rsidTr="003D45F0">
        <w:trPr>
          <w:cantSplit/>
        </w:trPr>
        <w:tc>
          <w:tcPr>
            <w:tcW w:w="9864" w:type="dxa"/>
            <w:gridSpan w:val="5"/>
            <w:shd w:val="clear" w:color="auto" w:fill="EDE3D2"/>
          </w:tcPr>
          <w:p w14:paraId="60CE2594" w14:textId="77777777" w:rsidR="00B84943" w:rsidRPr="004943B2" w:rsidRDefault="00B84943" w:rsidP="00CF1612">
            <w:pPr>
              <w:spacing w:before="40" w:after="40"/>
              <w:rPr>
                <w:rFonts w:asciiTheme="minorHAnsi" w:hAnsiTheme="minorHAnsi"/>
              </w:rPr>
            </w:pPr>
            <w:r w:rsidRPr="004943B2">
              <w:rPr>
                <w:rFonts w:asciiTheme="minorHAnsi" w:hAnsiTheme="minorHAnsi"/>
                <w:b/>
                <w:i/>
                <w:sz w:val="18"/>
              </w:rPr>
              <w:t>End of subdivision block</w:t>
            </w:r>
          </w:p>
        </w:tc>
      </w:tr>
      <w:tr w:rsidR="00B84943" w:rsidRPr="004943B2" w14:paraId="03810076" w14:textId="77777777" w:rsidTr="003D45F0">
        <w:trPr>
          <w:cantSplit/>
        </w:trPr>
        <w:tc>
          <w:tcPr>
            <w:tcW w:w="9864" w:type="dxa"/>
            <w:gridSpan w:val="5"/>
            <w:shd w:val="clear" w:color="auto" w:fill="E4E8F0"/>
          </w:tcPr>
          <w:p w14:paraId="551AE2F0" w14:textId="35CE594F" w:rsidR="00B84943" w:rsidRPr="004943B2" w:rsidRDefault="00B84943" w:rsidP="00CF1612">
            <w:pPr>
              <w:spacing w:before="40" w:after="40"/>
              <w:rPr>
                <w:rFonts w:asciiTheme="minorHAnsi" w:hAnsiTheme="minorHAnsi"/>
              </w:rPr>
            </w:pPr>
            <w:r w:rsidRPr="004943B2">
              <w:rPr>
                <w:rFonts w:asciiTheme="minorHAnsi" w:hAnsiTheme="minorHAnsi"/>
                <w:b/>
                <w:color w:val="1F3364"/>
                <w:sz w:val="20"/>
              </w:rPr>
              <w:t>Due diligence checklist</w:t>
            </w:r>
          </w:p>
        </w:tc>
      </w:tr>
      <w:tr w:rsidR="00B84943" w:rsidRPr="004943B2" w14:paraId="7D8534F2" w14:textId="77777777" w:rsidTr="003D45F0">
        <w:trPr>
          <w:cantSplit/>
        </w:trPr>
        <w:tc>
          <w:tcPr>
            <w:tcW w:w="567" w:type="dxa"/>
          </w:tcPr>
          <w:p w14:paraId="06FB583B" w14:textId="66E271A4" w:rsidR="00B84943" w:rsidRPr="004943B2" w:rsidRDefault="001B4BAA" w:rsidP="00CF1612">
            <w:pPr>
              <w:spacing w:before="40" w:after="40"/>
              <w:rPr>
                <w:rFonts w:asciiTheme="minorHAnsi" w:hAnsiTheme="minorHAnsi"/>
              </w:rPr>
            </w:pPr>
            <w:r w:rsidRPr="004943B2">
              <w:rPr>
                <w:rFonts w:asciiTheme="minorHAnsi" w:hAnsiTheme="minorHAnsi"/>
                <w:b/>
                <w:sz w:val="18"/>
              </w:rPr>
              <w:t>6</w:t>
            </w:r>
            <w:r w:rsidR="00927CE6" w:rsidRPr="004943B2">
              <w:rPr>
                <w:rFonts w:asciiTheme="minorHAnsi" w:hAnsiTheme="minorHAnsi"/>
                <w:b/>
                <w:sz w:val="18"/>
              </w:rPr>
              <w:t>8</w:t>
            </w:r>
          </w:p>
        </w:tc>
        <w:tc>
          <w:tcPr>
            <w:tcW w:w="850" w:type="dxa"/>
          </w:tcPr>
          <w:p w14:paraId="73748D19" w14:textId="77777777" w:rsidR="00B84943" w:rsidRPr="004943B2" w:rsidRDefault="00B84943" w:rsidP="00CF1612">
            <w:pPr>
              <w:spacing w:before="40" w:after="40"/>
              <w:rPr>
                <w:rFonts w:asciiTheme="minorHAnsi" w:hAnsiTheme="minorHAnsi"/>
              </w:rPr>
            </w:pPr>
            <w:r w:rsidRPr="004943B2">
              <w:rPr>
                <w:rFonts w:asciiTheme="minorHAnsi" w:hAnsiTheme="minorHAnsi"/>
                <w:i/>
                <w:sz w:val="17"/>
              </w:rPr>
              <w:t>12</w:t>
            </w:r>
          </w:p>
        </w:tc>
        <w:tc>
          <w:tcPr>
            <w:tcW w:w="5669" w:type="dxa"/>
          </w:tcPr>
          <w:p w14:paraId="5955E4BA" w14:textId="77777777" w:rsidR="00B84943" w:rsidRPr="004943B2" w:rsidRDefault="00B84943" w:rsidP="00CF1612">
            <w:pPr>
              <w:spacing w:before="40" w:after="40"/>
              <w:rPr>
                <w:rFonts w:asciiTheme="minorHAnsi" w:hAnsiTheme="minorHAnsi"/>
              </w:rPr>
            </w:pPr>
            <w:r w:rsidRPr="004943B2">
              <w:rPr>
                <w:rFonts w:asciiTheme="minorHAnsi" w:hAnsiTheme="minorHAnsi"/>
              </w:rPr>
              <w:t>The due diligence checklist is attached.</w:t>
            </w:r>
          </w:p>
        </w:tc>
        <w:tc>
          <w:tcPr>
            <w:tcW w:w="850" w:type="dxa"/>
          </w:tcPr>
          <w:p w14:paraId="4F349C18" w14:textId="77777777" w:rsidR="00B84943" w:rsidRPr="004943B2" w:rsidRDefault="00B84943" w:rsidP="00CF1612">
            <w:pPr>
              <w:spacing w:before="40" w:after="40"/>
              <w:rPr>
                <w:rFonts w:asciiTheme="minorHAnsi" w:hAnsiTheme="minorHAnsi"/>
              </w:rPr>
            </w:pPr>
            <w:r w:rsidRPr="004943B2">
              <w:rPr>
                <w:rFonts w:asciiTheme="minorHAnsi" w:hAnsiTheme="minorHAnsi"/>
                <w:sz w:val="17"/>
              </w:rPr>
              <w:t>E22</w:t>
            </w:r>
          </w:p>
        </w:tc>
        <w:tc>
          <w:tcPr>
            <w:tcW w:w="1928" w:type="dxa"/>
          </w:tcPr>
          <w:p w14:paraId="30552D78"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Done  </w:t>
            </w:r>
            <w:r w:rsidRPr="004943B2">
              <w:rPr>
                <w:rFonts w:asciiTheme="minorHAnsi" w:hAnsiTheme="minorHAnsi" w:cs="Segoe UI Symbol"/>
                <w:sz w:val="18"/>
              </w:rPr>
              <w:t>☐</w:t>
            </w:r>
          </w:p>
          <w:p w14:paraId="4EBE2BE2"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N/A  </w:t>
            </w:r>
            <w:r w:rsidRPr="004943B2">
              <w:rPr>
                <w:rFonts w:asciiTheme="minorHAnsi" w:hAnsiTheme="minorHAnsi" w:cs="Segoe UI Symbol"/>
                <w:sz w:val="18"/>
              </w:rPr>
              <w:t>☐</w:t>
            </w:r>
          </w:p>
          <w:p w14:paraId="70A66E64" w14:textId="77777777" w:rsidR="00B84943" w:rsidRPr="004943B2" w:rsidRDefault="00B84943" w:rsidP="00CF1612">
            <w:pPr>
              <w:spacing w:after="0"/>
              <w:rPr>
                <w:rFonts w:asciiTheme="minorHAnsi" w:hAnsiTheme="minorHAnsi"/>
              </w:rPr>
            </w:pPr>
            <w:r w:rsidRPr="004943B2">
              <w:rPr>
                <w:rFonts w:asciiTheme="minorHAnsi" w:hAnsiTheme="minorHAnsi"/>
                <w:sz w:val="18"/>
              </w:rPr>
              <w:t xml:space="preserve">Follow up  </w:t>
            </w:r>
            <w:r w:rsidRPr="004943B2">
              <w:rPr>
                <w:rFonts w:asciiTheme="minorHAnsi" w:hAnsiTheme="minorHAnsi" w:cs="Segoe UI Symbol"/>
                <w:sz w:val="18"/>
              </w:rPr>
              <w:t>☐</w:t>
            </w:r>
          </w:p>
          <w:p w14:paraId="3BE5E4BF" w14:textId="77777777" w:rsidR="00B84943" w:rsidRPr="004943B2" w:rsidRDefault="00B84943" w:rsidP="00CF1612">
            <w:pPr>
              <w:spacing w:after="0"/>
              <w:rPr>
                <w:rFonts w:asciiTheme="minorHAnsi" w:hAnsiTheme="minorHAnsi"/>
              </w:rPr>
            </w:pPr>
            <w:r w:rsidRPr="004943B2">
              <w:rPr>
                <w:rFonts w:asciiTheme="minorHAnsi" w:hAnsiTheme="minorHAnsi"/>
                <w:sz w:val="16"/>
              </w:rPr>
              <w:t>……………………</w:t>
            </w:r>
          </w:p>
        </w:tc>
      </w:tr>
      <w:tr w:rsidR="002A3A72" w:rsidRPr="004943B2" w14:paraId="6522CEDB" w14:textId="77777777" w:rsidTr="00ED3F00">
        <w:trPr>
          <w:cantSplit/>
        </w:trPr>
        <w:tc>
          <w:tcPr>
            <w:tcW w:w="9864" w:type="dxa"/>
            <w:gridSpan w:val="5"/>
            <w:shd w:val="clear" w:color="auto" w:fill="E4E8F0"/>
          </w:tcPr>
          <w:p w14:paraId="6D6C0C5A" w14:textId="20EB8204" w:rsidR="002A3A72" w:rsidRPr="004943B2" w:rsidRDefault="002A3A72" w:rsidP="00ED3F00">
            <w:pPr>
              <w:spacing w:before="40" w:after="40"/>
              <w:rPr>
                <w:rFonts w:asciiTheme="minorHAnsi" w:hAnsiTheme="minorHAnsi"/>
              </w:rPr>
            </w:pPr>
            <w:r w:rsidRPr="004943B2">
              <w:rPr>
                <w:rFonts w:asciiTheme="minorHAnsi" w:hAnsiTheme="minorHAnsi"/>
                <w:b/>
                <w:color w:val="1F3364"/>
                <w:sz w:val="20"/>
              </w:rPr>
              <w:t>Final review</w:t>
            </w:r>
          </w:p>
        </w:tc>
      </w:tr>
      <w:tr w:rsidR="002B23E4" w:rsidRPr="004943B2" w14:paraId="26DFA09B" w14:textId="77777777" w:rsidTr="0AAF6E96">
        <w:trPr>
          <w:cantSplit/>
          <w:trHeight w:val="300"/>
        </w:trPr>
        <w:tc>
          <w:tcPr>
            <w:tcW w:w="567" w:type="dxa"/>
          </w:tcPr>
          <w:p w14:paraId="21021311" w14:textId="4E70BA9F" w:rsidR="002B23E4" w:rsidRPr="004943B2" w:rsidRDefault="001B4BAA" w:rsidP="00CF1612">
            <w:pPr>
              <w:spacing w:before="40" w:after="40"/>
              <w:rPr>
                <w:rFonts w:asciiTheme="minorHAnsi" w:hAnsiTheme="minorHAnsi"/>
                <w:b/>
                <w:sz w:val="18"/>
                <w:szCs w:val="18"/>
              </w:rPr>
            </w:pPr>
            <w:r w:rsidRPr="004943B2">
              <w:rPr>
                <w:rFonts w:asciiTheme="minorHAnsi" w:hAnsiTheme="minorHAnsi"/>
                <w:b/>
                <w:sz w:val="18"/>
                <w:szCs w:val="18"/>
              </w:rPr>
              <w:t>6</w:t>
            </w:r>
            <w:r w:rsidR="00927CE6" w:rsidRPr="004943B2">
              <w:rPr>
                <w:rFonts w:asciiTheme="minorHAnsi" w:hAnsiTheme="minorHAnsi"/>
                <w:b/>
                <w:sz w:val="18"/>
                <w:szCs w:val="18"/>
              </w:rPr>
              <w:t>9</w:t>
            </w:r>
          </w:p>
        </w:tc>
        <w:tc>
          <w:tcPr>
            <w:tcW w:w="850" w:type="dxa"/>
          </w:tcPr>
          <w:p w14:paraId="67A22C0B" w14:textId="77777777" w:rsidR="002B23E4" w:rsidRPr="004943B2" w:rsidRDefault="002B23E4" w:rsidP="00CF1612">
            <w:pPr>
              <w:spacing w:before="40" w:after="40"/>
              <w:rPr>
                <w:rFonts w:asciiTheme="minorHAnsi" w:hAnsiTheme="minorHAnsi"/>
                <w:i/>
                <w:sz w:val="17"/>
                <w:szCs w:val="17"/>
              </w:rPr>
            </w:pPr>
          </w:p>
        </w:tc>
        <w:tc>
          <w:tcPr>
            <w:tcW w:w="5669" w:type="dxa"/>
          </w:tcPr>
          <w:p w14:paraId="53809D07" w14:textId="1E57C4C2" w:rsidR="002B23E4" w:rsidRPr="004943B2" w:rsidRDefault="00817367" w:rsidP="00CF1612">
            <w:pPr>
              <w:spacing w:before="40" w:after="40"/>
              <w:rPr>
                <w:rFonts w:asciiTheme="minorHAnsi" w:hAnsiTheme="minorHAnsi"/>
              </w:rPr>
            </w:pPr>
            <w:r w:rsidRPr="004943B2">
              <w:rPr>
                <w:rFonts w:asciiTheme="minorHAnsi" w:hAnsiTheme="minorHAnsi"/>
              </w:rPr>
              <w:t xml:space="preserve">Property details in certificates and annexures match the title details of the land being sold, and match </w:t>
            </w:r>
            <w:r w:rsidR="002B2A5A" w:rsidRPr="004943B2">
              <w:rPr>
                <w:rFonts w:asciiTheme="minorHAnsi" w:hAnsiTheme="minorHAnsi"/>
              </w:rPr>
              <w:t>the details contained in the register title search</w:t>
            </w:r>
            <w:r w:rsidR="007E7BCC" w:rsidRPr="004943B2">
              <w:rPr>
                <w:rFonts w:asciiTheme="minorHAnsi" w:hAnsiTheme="minorHAnsi"/>
              </w:rPr>
              <w:t>(s)</w:t>
            </w:r>
          </w:p>
        </w:tc>
        <w:tc>
          <w:tcPr>
            <w:tcW w:w="850" w:type="dxa"/>
          </w:tcPr>
          <w:p w14:paraId="0814F920" w14:textId="63683836" w:rsidR="002B23E4" w:rsidRPr="004943B2" w:rsidRDefault="007C2C50" w:rsidP="00CF1612">
            <w:pPr>
              <w:spacing w:before="40" w:after="40"/>
              <w:rPr>
                <w:rFonts w:asciiTheme="minorHAnsi" w:hAnsiTheme="minorHAnsi"/>
                <w:sz w:val="17"/>
                <w:szCs w:val="17"/>
              </w:rPr>
            </w:pPr>
            <w:r>
              <w:rPr>
                <w:rFonts w:asciiTheme="minorHAnsi" w:hAnsiTheme="minorHAnsi"/>
                <w:sz w:val="17"/>
                <w:szCs w:val="17"/>
              </w:rPr>
              <w:t>E23</w:t>
            </w:r>
          </w:p>
        </w:tc>
        <w:tc>
          <w:tcPr>
            <w:tcW w:w="1928" w:type="dxa"/>
          </w:tcPr>
          <w:p w14:paraId="4AB1C1B2" w14:textId="77777777" w:rsidR="002B2A5A" w:rsidRPr="004943B2" w:rsidRDefault="002B2A5A" w:rsidP="002B2A5A">
            <w:pPr>
              <w:spacing w:after="0"/>
              <w:rPr>
                <w:rFonts w:asciiTheme="minorHAnsi" w:hAnsiTheme="minorHAnsi"/>
              </w:rPr>
            </w:pPr>
            <w:r w:rsidRPr="004943B2">
              <w:rPr>
                <w:rFonts w:asciiTheme="minorHAnsi" w:hAnsiTheme="minorHAnsi"/>
                <w:sz w:val="18"/>
                <w:szCs w:val="18"/>
              </w:rPr>
              <w:t xml:space="preserve">Done  </w:t>
            </w:r>
            <w:r w:rsidRPr="004943B2">
              <w:rPr>
                <w:rFonts w:asciiTheme="minorHAnsi" w:hAnsiTheme="minorHAnsi" w:cs="Segoe UI Symbol"/>
                <w:sz w:val="18"/>
                <w:szCs w:val="18"/>
              </w:rPr>
              <w:t>☐</w:t>
            </w:r>
          </w:p>
          <w:p w14:paraId="2060A454" w14:textId="77777777" w:rsidR="002B2A5A" w:rsidRPr="004943B2" w:rsidRDefault="002B2A5A" w:rsidP="002B2A5A">
            <w:pPr>
              <w:spacing w:after="0"/>
              <w:rPr>
                <w:rFonts w:asciiTheme="minorHAnsi" w:hAnsiTheme="minorHAnsi"/>
              </w:rPr>
            </w:pPr>
            <w:r w:rsidRPr="004943B2">
              <w:rPr>
                <w:rFonts w:asciiTheme="minorHAnsi" w:hAnsiTheme="minorHAnsi"/>
                <w:sz w:val="18"/>
                <w:szCs w:val="18"/>
              </w:rPr>
              <w:t xml:space="preserve">N/A  </w:t>
            </w:r>
            <w:r w:rsidRPr="004943B2">
              <w:rPr>
                <w:rFonts w:asciiTheme="minorHAnsi" w:hAnsiTheme="minorHAnsi" w:cs="Segoe UI Symbol"/>
                <w:sz w:val="18"/>
                <w:szCs w:val="18"/>
              </w:rPr>
              <w:t>☐</w:t>
            </w:r>
          </w:p>
          <w:p w14:paraId="368CFC1D" w14:textId="77777777" w:rsidR="002B2A5A" w:rsidRPr="004943B2" w:rsidRDefault="002B2A5A" w:rsidP="002B2A5A">
            <w:pPr>
              <w:spacing w:after="0"/>
              <w:rPr>
                <w:rFonts w:asciiTheme="minorHAnsi" w:hAnsiTheme="minorHAnsi"/>
              </w:rPr>
            </w:pPr>
            <w:r w:rsidRPr="004943B2">
              <w:rPr>
                <w:rFonts w:asciiTheme="minorHAnsi" w:hAnsiTheme="minorHAnsi"/>
                <w:sz w:val="18"/>
                <w:szCs w:val="18"/>
              </w:rPr>
              <w:t xml:space="preserve">Follow up  </w:t>
            </w:r>
            <w:r w:rsidRPr="004943B2">
              <w:rPr>
                <w:rFonts w:asciiTheme="minorHAnsi" w:hAnsiTheme="minorHAnsi" w:cs="Segoe UI Symbol"/>
                <w:sz w:val="18"/>
                <w:szCs w:val="18"/>
              </w:rPr>
              <w:t>☐</w:t>
            </w:r>
          </w:p>
          <w:p w14:paraId="27A60376" w14:textId="77777777" w:rsidR="002B23E4" w:rsidRPr="004943B2" w:rsidRDefault="002B23E4" w:rsidP="00CF1612">
            <w:pPr>
              <w:spacing w:after="0"/>
              <w:rPr>
                <w:rFonts w:asciiTheme="minorHAnsi" w:hAnsiTheme="minorHAnsi"/>
                <w:sz w:val="18"/>
                <w:szCs w:val="18"/>
              </w:rPr>
            </w:pPr>
          </w:p>
        </w:tc>
      </w:tr>
      <w:tr w:rsidR="002B23E4" w:rsidRPr="004943B2" w14:paraId="3D4F13E5" w14:textId="77777777" w:rsidTr="0AAF6E96">
        <w:trPr>
          <w:cantSplit/>
          <w:trHeight w:val="300"/>
        </w:trPr>
        <w:tc>
          <w:tcPr>
            <w:tcW w:w="567" w:type="dxa"/>
          </w:tcPr>
          <w:p w14:paraId="4D5061C7" w14:textId="371C71F3" w:rsidR="002B23E4" w:rsidRPr="004943B2" w:rsidRDefault="00927CE6" w:rsidP="00CF1612">
            <w:pPr>
              <w:spacing w:before="40" w:after="40"/>
              <w:rPr>
                <w:rFonts w:asciiTheme="minorHAnsi" w:hAnsiTheme="minorHAnsi"/>
                <w:b/>
                <w:sz w:val="18"/>
                <w:szCs w:val="18"/>
              </w:rPr>
            </w:pPr>
            <w:r w:rsidRPr="004943B2">
              <w:rPr>
                <w:rFonts w:asciiTheme="minorHAnsi" w:hAnsiTheme="minorHAnsi"/>
                <w:b/>
                <w:sz w:val="18"/>
                <w:szCs w:val="18"/>
              </w:rPr>
              <w:t>70</w:t>
            </w:r>
          </w:p>
        </w:tc>
        <w:tc>
          <w:tcPr>
            <w:tcW w:w="850" w:type="dxa"/>
          </w:tcPr>
          <w:p w14:paraId="1FC3DD72" w14:textId="77777777" w:rsidR="002B23E4" w:rsidRPr="004943B2" w:rsidRDefault="002B23E4" w:rsidP="00CF1612">
            <w:pPr>
              <w:spacing w:before="40" w:after="40"/>
              <w:rPr>
                <w:rFonts w:asciiTheme="minorHAnsi" w:hAnsiTheme="minorHAnsi"/>
                <w:i/>
                <w:sz w:val="17"/>
                <w:szCs w:val="17"/>
              </w:rPr>
            </w:pPr>
          </w:p>
        </w:tc>
        <w:tc>
          <w:tcPr>
            <w:tcW w:w="5669" w:type="dxa"/>
          </w:tcPr>
          <w:p w14:paraId="38132333" w14:textId="73FB0800" w:rsidR="002B23E4" w:rsidRPr="004943B2" w:rsidRDefault="002B2A5A" w:rsidP="00CF1612">
            <w:pPr>
              <w:spacing w:before="40" w:after="40"/>
              <w:rPr>
                <w:rFonts w:asciiTheme="minorHAnsi" w:hAnsiTheme="minorHAnsi"/>
              </w:rPr>
            </w:pPr>
            <w:r w:rsidRPr="004943B2">
              <w:rPr>
                <w:rFonts w:asciiTheme="minorHAnsi" w:hAnsiTheme="minorHAnsi"/>
              </w:rPr>
              <w:t>If the property is separately rated</w:t>
            </w:r>
            <w:r w:rsidR="00B807C9" w:rsidRPr="004943B2">
              <w:rPr>
                <w:rFonts w:asciiTheme="minorHAnsi" w:hAnsiTheme="minorHAnsi"/>
              </w:rPr>
              <w:t>,</w:t>
            </w:r>
            <w:r w:rsidRPr="004943B2">
              <w:rPr>
                <w:rFonts w:asciiTheme="minorHAnsi" w:hAnsiTheme="minorHAnsi"/>
              </w:rPr>
              <w:t xml:space="preserve"> </w:t>
            </w:r>
            <w:proofErr w:type="gramStart"/>
            <w:r w:rsidRPr="004943B2">
              <w:rPr>
                <w:rFonts w:asciiTheme="minorHAnsi" w:hAnsiTheme="minorHAnsi"/>
              </w:rPr>
              <w:t>all of</w:t>
            </w:r>
            <w:proofErr w:type="gramEnd"/>
            <w:r w:rsidRPr="004943B2">
              <w:rPr>
                <w:rFonts w:asciiTheme="minorHAnsi" w:hAnsiTheme="minorHAnsi"/>
              </w:rPr>
              <w:t xml:space="preserve"> the correct certificates and documents have been obtained, reviewed and annexed to the section 32 statement for all separately ra</w:t>
            </w:r>
            <w:r w:rsidR="00B807C9" w:rsidRPr="004943B2">
              <w:rPr>
                <w:rFonts w:asciiTheme="minorHAnsi" w:hAnsiTheme="minorHAnsi"/>
              </w:rPr>
              <w:t xml:space="preserve">ted </w:t>
            </w:r>
            <w:r w:rsidR="001B00A6" w:rsidRPr="004943B2">
              <w:rPr>
                <w:rFonts w:asciiTheme="minorHAnsi" w:hAnsiTheme="minorHAnsi"/>
              </w:rPr>
              <w:t>parcels</w:t>
            </w:r>
            <w:r w:rsidR="00B807C9" w:rsidRPr="004943B2">
              <w:rPr>
                <w:rFonts w:asciiTheme="minorHAnsi" w:hAnsiTheme="minorHAnsi"/>
              </w:rPr>
              <w:t xml:space="preserve"> of land being sold.</w:t>
            </w:r>
          </w:p>
        </w:tc>
        <w:tc>
          <w:tcPr>
            <w:tcW w:w="850" w:type="dxa"/>
          </w:tcPr>
          <w:p w14:paraId="513A2BA0" w14:textId="36C45BE5" w:rsidR="002B23E4" w:rsidRPr="004943B2" w:rsidRDefault="007C2C50" w:rsidP="00CF1612">
            <w:pPr>
              <w:spacing w:before="40" w:after="40"/>
              <w:rPr>
                <w:rFonts w:asciiTheme="minorHAnsi" w:hAnsiTheme="minorHAnsi"/>
                <w:sz w:val="17"/>
                <w:szCs w:val="17"/>
              </w:rPr>
            </w:pPr>
            <w:r>
              <w:rPr>
                <w:rFonts w:asciiTheme="minorHAnsi" w:hAnsiTheme="minorHAnsi"/>
                <w:sz w:val="17"/>
                <w:szCs w:val="17"/>
              </w:rPr>
              <w:t>E23</w:t>
            </w:r>
          </w:p>
        </w:tc>
        <w:tc>
          <w:tcPr>
            <w:tcW w:w="1928" w:type="dxa"/>
          </w:tcPr>
          <w:p w14:paraId="624F0A3F" w14:textId="77777777" w:rsidR="00B807C9" w:rsidRPr="004943B2" w:rsidRDefault="00B807C9" w:rsidP="00B807C9">
            <w:pPr>
              <w:spacing w:after="0"/>
              <w:rPr>
                <w:rFonts w:asciiTheme="minorHAnsi" w:hAnsiTheme="minorHAnsi"/>
              </w:rPr>
            </w:pPr>
            <w:r w:rsidRPr="004943B2">
              <w:rPr>
                <w:rFonts w:asciiTheme="minorHAnsi" w:hAnsiTheme="minorHAnsi"/>
                <w:sz w:val="18"/>
                <w:szCs w:val="18"/>
              </w:rPr>
              <w:t xml:space="preserve">Done  </w:t>
            </w:r>
            <w:r w:rsidRPr="004943B2">
              <w:rPr>
                <w:rFonts w:asciiTheme="minorHAnsi" w:hAnsiTheme="minorHAnsi" w:cs="Segoe UI Symbol"/>
                <w:sz w:val="18"/>
                <w:szCs w:val="18"/>
              </w:rPr>
              <w:t>☐</w:t>
            </w:r>
          </w:p>
          <w:p w14:paraId="0D48EB15" w14:textId="77777777" w:rsidR="00B807C9" w:rsidRPr="004943B2" w:rsidRDefault="00B807C9" w:rsidP="00B807C9">
            <w:pPr>
              <w:spacing w:after="0"/>
              <w:rPr>
                <w:rFonts w:asciiTheme="minorHAnsi" w:hAnsiTheme="minorHAnsi"/>
              </w:rPr>
            </w:pPr>
            <w:r w:rsidRPr="004943B2">
              <w:rPr>
                <w:rFonts w:asciiTheme="minorHAnsi" w:hAnsiTheme="minorHAnsi"/>
                <w:sz w:val="18"/>
                <w:szCs w:val="18"/>
              </w:rPr>
              <w:t xml:space="preserve">N/A  </w:t>
            </w:r>
            <w:r w:rsidRPr="004943B2">
              <w:rPr>
                <w:rFonts w:asciiTheme="minorHAnsi" w:hAnsiTheme="minorHAnsi" w:cs="Segoe UI Symbol"/>
                <w:sz w:val="18"/>
                <w:szCs w:val="18"/>
              </w:rPr>
              <w:t>☐</w:t>
            </w:r>
          </w:p>
          <w:p w14:paraId="416F3016" w14:textId="77777777" w:rsidR="00B807C9" w:rsidRPr="004943B2" w:rsidRDefault="00B807C9" w:rsidP="00B807C9">
            <w:pPr>
              <w:spacing w:after="0"/>
              <w:rPr>
                <w:rFonts w:asciiTheme="minorHAnsi" w:hAnsiTheme="minorHAnsi"/>
              </w:rPr>
            </w:pPr>
            <w:r w:rsidRPr="004943B2">
              <w:rPr>
                <w:rFonts w:asciiTheme="minorHAnsi" w:hAnsiTheme="minorHAnsi"/>
                <w:sz w:val="18"/>
                <w:szCs w:val="18"/>
              </w:rPr>
              <w:t xml:space="preserve">Follow up  </w:t>
            </w:r>
            <w:r w:rsidRPr="004943B2">
              <w:rPr>
                <w:rFonts w:asciiTheme="minorHAnsi" w:hAnsiTheme="minorHAnsi" w:cs="Segoe UI Symbol"/>
                <w:sz w:val="18"/>
                <w:szCs w:val="18"/>
              </w:rPr>
              <w:t>☐</w:t>
            </w:r>
          </w:p>
          <w:p w14:paraId="3FA879A2" w14:textId="77777777" w:rsidR="002B23E4" w:rsidRPr="004943B2" w:rsidRDefault="002B23E4" w:rsidP="00CF1612">
            <w:pPr>
              <w:spacing w:after="0"/>
              <w:rPr>
                <w:rFonts w:asciiTheme="minorHAnsi" w:hAnsiTheme="minorHAnsi"/>
                <w:sz w:val="18"/>
                <w:szCs w:val="18"/>
              </w:rPr>
            </w:pPr>
          </w:p>
        </w:tc>
      </w:tr>
      <w:tr w:rsidR="00B807C9" w:rsidRPr="004943B2" w14:paraId="73665F8C" w14:textId="77777777" w:rsidTr="0AAF6E96">
        <w:trPr>
          <w:cantSplit/>
          <w:trHeight w:val="300"/>
        </w:trPr>
        <w:tc>
          <w:tcPr>
            <w:tcW w:w="567" w:type="dxa"/>
          </w:tcPr>
          <w:p w14:paraId="014D20CC" w14:textId="5DD3F476" w:rsidR="00B807C9" w:rsidRPr="004943B2" w:rsidRDefault="001B4BAA" w:rsidP="00B807C9">
            <w:pPr>
              <w:spacing w:before="40" w:after="40"/>
              <w:rPr>
                <w:rFonts w:asciiTheme="minorHAnsi" w:hAnsiTheme="minorHAnsi"/>
                <w:b/>
                <w:sz w:val="18"/>
                <w:szCs w:val="18"/>
              </w:rPr>
            </w:pPr>
            <w:r w:rsidRPr="004943B2">
              <w:rPr>
                <w:rFonts w:asciiTheme="minorHAnsi" w:hAnsiTheme="minorHAnsi"/>
                <w:b/>
                <w:sz w:val="18"/>
                <w:szCs w:val="18"/>
              </w:rPr>
              <w:t>7</w:t>
            </w:r>
            <w:r w:rsidR="00927CE6" w:rsidRPr="004943B2">
              <w:rPr>
                <w:rFonts w:asciiTheme="minorHAnsi" w:hAnsiTheme="minorHAnsi"/>
                <w:b/>
                <w:sz w:val="18"/>
                <w:szCs w:val="18"/>
              </w:rPr>
              <w:t>1</w:t>
            </w:r>
          </w:p>
        </w:tc>
        <w:tc>
          <w:tcPr>
            <w:tcW w:w="850" w:type="dxa"/>
          </w:tcPr>
          <w:p w14:paraId="06EFE297" w14:textId="77777777" w:rsidR="00B807C9" w:rsidRPr="004943B2" w:rsidRDefault="00B807C9" w:rsidP="00B807C9">
            <w:pPr>
              <w:spacing w:before="40" w:after="40"/>
              <w:rPr>
                <w:rFonts w:asciiTheme="minorHAnsi" w:hAnsiTheme="minorHAnsi"/>
                <w:i/>
                <w:sz w:val="17"/>
                <w:szCs w:val="17"/>
              </w:rPr>
            </w:pPr>
          </w:p>
        </w:tc>
        <w:tc>
          <w:tcPr>
            <w:tcW w:w="5669" w:type="dxa"/>
          </w:tcPr>
          <w:p w14:paraId="3BD48257" w14:textId="771F079C" w:rsidR="00B807C9" w:rsidRPr="004943B2" w:rsidRDefault="00B807C9" w:rsidP="00B807C9">
            <w:pPr>
              <w:spacing w:before="40" w:after="40"/>
              <w:rPr>
                <w:rFonts w:asciiTheme="minorHAnsi" w:hAnsiTheme="minorHAnsi"/>
              </w:rPr>
            </w:pPr>
            <w:r w:rsidRPr="004943B2">
              <w:rPr>
                <w:rFonts w:asciiTheme="minorHAnsi" w:hAnsiTheme="minorHAnsi"/>
              </w:rPr>
              <w:t xml:space="preserve">Every applicable certificate or document has been </w:t>
            </w:r>
            <w:r w:rsidRPr="004943B2">
              <w:rPr>
                <w:rFonts w:asciiTheme="minorHAnsi" w:hAnsiTheme="minorHAnsi"/>
                <w:b/>
                <w:bCs/>
              </w:rPr>
              <w:t>obtained, reviewed and annexed</w:t>
            </w:r>
            <w:r w:rsidRPr="004943B2">
              <w:rPr>
                <w:rFonts w:asciiTheme="minorHAnsi" w:hAnsiTheme="minorHAnsi"/>
              </w:rPr>
              <w:t xml:space="preserve"> to </w:t>
            </w:r>
            <w:proofErr w:type="gramStart"/>
            <w:r w:rsidRPr="004943B2">
              <w:rPr>
                <w:rFonts w:asciiTheme="minorHAnsi" w:hAnsiTheme="minorHAnsi"/>
              </w:rPr>
              <w:t>the section</w:t>
            </w:r>
            <w:proofErr w:type="gramEnd"/>
            <w:r w:rsidRPr="004943B2">
              <w:rPr>
                <w:rFonts w:asciiTheme="minorHAnsi" w:hAnsiTheme="minorHAnsi"/>
              </w:rPr>
              <w:t xml:space="preserve"> 32 statement</w:t>
            </w:r>
            <w:r w:rsidR="004F42B3">
              <w:rPr>
                <w:rFonts w:asciiTheme="minorHAnsi" w:hAnsiTheme="minorHAnsi"/>
              </w:rPr>
              <w:t xml:space="preserve"> (the certificates and documents checklist in Part 2 can assist practitioners with this task)</w:t>
            </w:r>
            <w:r w:rsidRPr="004943B2">
              <w:rPr>
                <w:rFonts w:asciiTheme="minorHAnsi" w:hAnsiTheme="minorHAnsi"/>
              </w:rPr>
              <w:t>.</w:t>
            </w:r>
          </w:p>
        </w:tc>
        <w:tc>
          <w:tcPr>
            <w:tcW w:w="850" w:type="dxa"/>
          </w:tcPr>
          <w:p w14:paraId="62990D85" w14:textId="4931FFFF" w:rsidR="00B807C9" w:rsidRPr="004943B2" w:rsidRDefault="00B807C9" w:rsidP="00B807C9">
            <w:pPr>
              <w:spacing w:before="40" w:after="40"/>
              <w:rPr>
                <w:rFonts w:asciiTheme="minorHAnsi" w:hAnsiTheme="minorHAnsi"/>
                <w:sz w:val="17"/>
                <w:szCs w:val="17"/>
              </w:rPr>
            </w:pPr>
            <w:r w:rsidRPr="004943B2">
              <w:rPr>
                <w:rFonts w:asciiTheme="minorHAnsi" w:hAnsiTheme="minorHAnsi"/>
                <w:sz w:val="17"/>
                <w:szCs w:val="17"/>
              </w:rPr>
              <w:t>E4</w:t>
            </w:r>
          </w:p>
        </w:tc>
        <w:tc>
          <w:tcPr>
            <w:tcW w:w="1928" w:type="dxa"/>
          </w:tcPr>
          <w:p w14:paraId="1E36AAB6" w14:textId="77777777" w:rsidR="00B807C9" w:rsidRPr="004943B2" w:rsidRDefault="00B807C9" w:rsidP="00B807C9">
            <w:pPr>
              <w:spacing w:after="0"/>
              <w:rPr>
                <w:rFonts w:asciiTheme="minorHAnsi" w:hAnsiTheme="minorHAnsi"/>
              </w:rPr>
            </w:pPr>
            <w:r w:rsidRPr="004943B2">
              <w:rPr>
                <w:rFonts w:asciiTheme="minorHAnsi" w:hAnsiTheme="minorHAnsi"/>
                <w:sz w:val="18"/>
                <w:szCs w:val="18"/>
              </w:rPr>
              <w:t xml:space="preserve">Done  </w:t>
            </w:r>
            <w:r w:rsidRPr="004943B2">
              <w:rPr>
                <w:rFonts w:asciiTheme="minorHAnsi" w:hAnsiTheme="minorHAnsi" w:cs="Segoe UI Symbol"/>
                <w:sz w:val="18"/>
                <w:szCs w:val="18"/>
              </w:rPr>
              <w:t>☐</w:t>
            </w:r>
          </w:p>
          <w:p w14:paraId="323FD020" w14:textId="77777777" w:rsidR="00B807C9" w:rsidRPr="004943B2" w:rsidRDefault="00B807C9" w:rsidP="00B807C9">
            <w:pPr>
              <w:spacing w:after="0"/>
              <w:rPr>
                <w:rFonts w:asciiTheme="minorHAnsi" w:hAnsiTheme="minorHAnsi"/>
              </w:rPr>
            </w:pPr>
            <w:r w:rsidRPr="004943B2">
              <w:rPr>
                <w:rFonts w:asciiTheme="minorHAnsi" w:hAnsiTheme="minorHAnsi"/>
                <w:sz w:val="18"/>
                <w:szCs w:val="18"/>
              </w:rPr>
              <w:t xml:space="preserve">N/A  </w:t>
            </w:r>
            <w:r w:rsidRPr="004943B2">
              <w:rPr>
                <w:rFonts w:asciiTheme="minorHAnsi" w:hAnsiTheme="minorHAnsi" w:cs="Segoe UI Symbol"/>
                <w:sz w:val="18"/>
                <w:szCs w:val="18"/>
              </w:rPr>
              <w:t>☐</w:t>
            </w:r>
          </w:p>
          <w:p w14:paraId="55202474" w14:textId="77777777" w:rsidR="00B807C9" w:rsidRPr="004943B2" w:rsidRDefault="00B807C9" w:rsidP="00B807C9">
            <w:pPr>
              <w:spacing w:after="0"/>
              <w:rPr>
                <w:rFonts w:asciiTheme="minorHAnsi" w:hAnsiTheme="minorHAnsi"/>
              </w:rPr>
            </w:pPr>
            <w:r w:rsidRPr="004943B2">
              <w:rPr>
                <w:rFonts w:asciiTheme="minorHAnsi" w:hAnsiTheme="minorHAnsi"/>
                <w:sz w:val="18"/>
                <w:szCs w:val="18"/>
              </w:rPr>
              <w:t xml:space="preserve">Follow up  </w:t>
            </w:r>
            <w:r w:rsidRPr="004943B2">
              <w:rPr>
                <w:rFonts w:asciiTheme="minorHAnsi" w:hAnsiTheme="minorHAnsi" w:cs="Segoe UI Symbol"/>
                <w:sz w:val="18"/>
                <w:szCs w:val="18"/>
              </w:rPr>
              <w:t>☐</w:t>
            </w:r>
          </w:p>
          <w:p w14:paraId="24A89B9B" w14:textId="4D236542" w:rsidR="00B807C9" w:rsidRPr="004943B2" w:rsidRDefault="00B807C9" w:rsidP="00B807C9">
            <w:pPr>
              <w:spacing w:after="0"/>
              <w:rPr>
                <w:rFonts w:asciiTheme="minorHAnsi" w:hAnsiTheme="minorHAnsi"/>
                <w:sz w:val="18"/>
                <w:szCs w:val="18"/>
              </w:rPr>
            </w:pPr>
            <w:r w:rsidRPr="004943B2">
              <w:rPr>
                <w:rFonts w:asciiTheme="minorHAnsi" w:hAnsiTheme="minorHAnsi"/>
                <w:sz w:val="16"/>
                <w:szCs w:val="16"/>
              </w:rPr>
              <w:t>……………………</w:t>
            </w:r>
          </w:p>
        </w:tc>
      </w:tr>
    </w:tbl>
    <w:p w14:paraId="7CA9FCFC" w14:textId="77777777" w:rsidR="00B84943" w:rsidRPr="004943B2" w:rsidRDefault="00B84943" w:rsidP="00B84943">
      <w:pPr>
        <w:spacing w:after="100"/>
        <w:rPr>
          <w:rFonts w:asciiTheme="minorHAnsi" w:hAnsiTheme="minorHAnsi"/>
        </w:rPr>
      </w:pPr>
      <w:r w:rsidRPr="004943B2">
        <w:rPr>
          <w:rFonts w:asciiTheme="minorHAnsi" w:hAnsiTheme="minorHAnsi"/>
          <w:b/>
          <w:color w:val="1F3364"/>
          <w:sz w:val="28"/>
        </w:rPr>
        <w:lastRenderedPageBreak/>
        <w:t>Explanations</w:t>
      </w:r>
    </w:p>
    <w:p w14:paraId="6979D138"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E1  Identifying the land, and the currency of the search</w:t>
      </w:r>
    </w:p>
    <w:p w14:paraId="015C482F" w14:textId="1DDCF964" w:rsidR="00B84943" w:rsidRPr="004943B2" w:rsidRDefault="00B84943" w:rsidP="00B84943">
      <w:pPr>
        <w:spacing w:after="40"/>
        <w:rPr>
          <w:rFonts w:asciiTheme="minorHAnsi" w:hAnsiTheme="minorHAnsi"/>
        </w:rPr>
      </w:pPr>
      <w:r w:rsidRPr="004943B2">
        <w:rPr>
          <w:rFonts w:asciiTheme="minorHAnsi" w:hAnsiTheme="minorHAnsi"/>
        </w:rPr>
        <w:t>The particulars of sale of contract, the section 32 statement and the title search</w:t>
      </w:r>
      <w:r w:rsidR="003A674A" w:rsidRPr="004943B2">
        <w:rPr>
          <w:rFonts w:asciiTheme="minorHAnsi" w:hAnsiTheme="minorHAnsi"/>
        </w:rPr>
        <w:t>(s)</w:t>
      </w:r>
      <w:r w:rsidRPr="004943B2">
        <w:rPr>
          <w:rFonts w:asciiTheme="minorHAnsi" w:hAnsiTheme="minorHAnsi"/>
        </w:rPr>
        <w:t xml:space="preserve"> must all describe the same land</w:t>
      </w:r>
      <w:r w:rsidR="005A4BD4" w:rsidRPr="004943B2">
        <w:rPr>
          <w:rFonts w:asciiTheme="minorHAnsi" w:hAnsiTheme="minorHAnsi"/>
        </w:rPr>
        <w:t>.</w:t>
      </w:r>
      <w:r w:rsidRPr="004943B2">
        <w:rPr>
          <w:rFonts w:asciiTheme="minorHAnsi" w:hAnsiTheme="minorHAnsi"/>
        </w:rPr>
        <w:t xml:space="preserve"> </w:t>
      </w:r>
      <w:r w:rsidR="005A4BD4" w:rsidRPr="004943B2">
        <w:rPr>
          <w:rFonts w:asciiTheme="minorHAnsi" w:hAnsiTheme="minorHAnsi"/>
        </w:rPr>
        <w:t>P</w:t>
      </w:r>
      <w:r w:rsidRPr="004943B2">
        <w:rPr>
          <w:rFonts w:asciiTheme="minorHAnsi" w:hAnsiTheme="minorHAnsi"/>
        </w:rPr>
        <w:t xml:space="preserve">ractitioners need to make sure that all lots that the vendor intends to sell are included in the contract and section 32 statement. </w:t>
      </w:r>
    </w:p>
    <w:p w14:paraId="4C49E9B2" w14:textId="606B1EC6" w:rsidR="00B84943" w:rsidRPr="004943B2" w:rsidRDefault="00B84943" w:rsidP="00B84943">
      <w:pPr>
        <w:spacing w:after="40"/>
        <w:rPr>
          <w:rFonts w:asciiTheme="minorHAnsi" w:hAnsiTheme="minorHAnsi"/>
        </w:rPr>
      </w:pPr>
      <w:r w:rsidRPr="004943B2">
        <w:rPr>
          <w:rFonts w:asciiTheme="minorHAnsi" w:hAnsiTheme="minorHAnsi"/>
        </w:rPr>
        <w:t xml:space="preserve">A register search statement (title search) is also a snapshot in time. Dealings can be lodged after the title search is produced, and the </w:t>
      </w:r>
      <w:r w:rsidR="00F75BC5" w:rsidRPr="004943B2">
        <w:rPr>
          <w:rFonts w:asciiTheme="minorHAnsi" w:hAnsiTheme="minorHAnsi"/>
        </w:rPr>
        <w:t>section 32</w:t>
      </w:r>
      <w:r w:rsidRPr="004943B2">
        <w:rPr>
          <w:rFonts w:asciiTheme="minorHAnsi" w:hAnsiTheme="minorHAnsi"/>
        </w:rPr>
        <w:t xml:space="preserve"> statement must be accurate when the purchaser signs the section 32 statement, not when it was prepared. Practitioners should check the activity panel on the title </w:t>
      </w:r>
      <w:proofErr w:type="gramStart"/>
      <w:r w:rsidRPr="004943B2">
        <w:rPr>
          <w:rFonts w:asciiTheme="minorHAnsi" w:hAnsiTheme="minorHAnsi"/>
        </w:rPr>
        <w:t>search, and</w:t>
      </w:r>
      <w:proofErr w:type="gramEnd"/>
      <w:r w:rsidRPr="004943B2">
        <w:rPr>
          <w:rFonts w:asciiTheme="minorHAnsi" w:hAnsiTheme="minorHAnsi"/>
        </w:rPr>
        <w:t xml:space="preserve"> order a new title search where time has passed between preparation and signing.</w:t>
      </w:r>
    </w:p>
    <w:p w14:paraId="4A973B77" w14:textId="77777777" w:rsidR="00B84943" w:rsidRPr="004943B2" w:rsidRDefault="00B84943" w:rsidP="00B84943">
      <w:pPr>
        <w:spacing w:before="40" w:after="40"/>
        <w:rPr>
          <w:rFonts w:asciiTheme="minorHAnsi" w:hAnsiTheme="minorHAnsi"/>
        </w:rPr>
      </w:pPr>
      <w:r w:rsidRPr="004943B2">
        <w:rPr>
          <w:rFonts w:asciiTheme="minorHAnsi" w:hAnsiTheme="minorHAnsi"/>
          <w:i/>
          <w:sz w:val="17"/>
        </w:rPr>
        <w:t xml:space="preserve">Further information:  </w:t>
      </w:r>
      <w:hyperlink r:id="rId15">
        <w:r w:rsidRPr="00263CD2">
          <w:rPr>
            <w:rStyle w:val="Hyperlink"/>
            <w:szCs w:val="17"/>
          </w:rPr>
          <w:t>Section 32 statements: the basics</w:t>
        </w:r>
      </w:hyperlink>
      <w:r w:rsidRPr="00263CD2">
        <w:rPr>
          <w:rStyle w:val="Hyperlink"/>
          <w:szCs w:val="17"/>
        </w:rPr>
        <w:t xml:space="preserve">   </w:t>
      </w:r>
      <w:r w:rsidRPr="004943B2">
        <w:rPr>
          <w:rFonts w:asciiTheme="minorHAnsi" w:hAnsiTheme="minorHAnsi"/>
          <w:sz w:val="17"/>
        </w:rPr>
        <w:t xml:space="preserve">|  </w:t>
      </w:r>
      <w:r w:rsidRPr="00263CD2">
        <w:rPr>
          <w:rStyle w:val="Hyperlink"/>
          <w:szCs w:val="17"/>
        </w:rPr>
        <w:t xml:space="preserve"> </w:t>
      </w:r>
      <w:hyperlink r:id="rId16">
        <w:r w:rsidRPr="00263CD2">
          <w:rPr>
            <w:rStyle w:val="Hyperlink"/>
            <w:szCs w:val="17"/>
          </w:rPr>
          <w:t>Section 32I of the Sale of Land Act</w:t>
        </w:r>
      </w:hyperlink>
    </w:p>
    <w:p w14:paraId="26D11574"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w:t>
      </w:r>
      <w:proofErr w:type="gramStart"/>
      <w:r w:rsidRPr="004943B2">
        <w:rPr>
          <w:rFonts w:asciiTheme="minorHAnsi" w:hAnsiTheme="minorHAnsi"/>
          <w:b/>
          <w:color w:val="1F3364"/>
          <w:sz w:val="21"/>
        </w:rPr>
        <w:t>2  Multiple</w:t>
      </w:r>
      <w:proofErr w:type="gramEnd"/>
      <w:r w:rsidRPr="004943B2">
        <w:rPr>
          <w:rFonts w:asciiTheme="minorHAnsi" w:hAnsiTheme="minorHAnsi"/>
          <w:b/>
          <w:color w:val="1F3364"/>
          <w:sz w:val="21"/>
        </w:rPr>
        <w:t xml:space="preserve"> titles, accessory lots, </w:t>
      </w:r>
      <w:proofErr w:type="gramStart"/>
      <w:r w:rsidRPr="004943B2">
        <w:rPr>
          <w:rFonts w:asciiTheme="minorHAnsi" w:hAnsiTheme="minorHAnsi"/>
          <w:b/>
          <w:color w:val="1F3364"/>
          <w:sz w:val="21"/>
        </w:rPr>
        <w:t>interest</w:t>
      </w:r>
      <w:proofErr w:type="gramEnd"/>
      <w:r w:rsidRPr="004943B2">
        <w:rPr>
          <w:rFonts w:asciiTheme="minorHAnsi" w:hAnsiTheme="minorHAnsi"/>
          <w:b/>
          <w:color w:val="1F3364"/>
          <w:sz w:val="21"/>
        </w:rPr>
        <w:t xml:space="preserve"> titles and crown allotments</w:t>
      </w:r>
    </w:p>
    <w:p w14:paraId="3E30D915" w14:textId="3EBF7522" w:rsidR="00B84943" w:rsidRPr="004943B2" w:rsidRDefault="00A437CB" w:rsidP="00B84943">
      <w:pPr>
        <w:spacing w:after="40"/>
        <w:rPr>
          <w:rFonts w:asciiTheme="minorHAnsi" w:hAnsiTheme="minorHAnsi"/>
        </w:rPr>
      </w:pPr>
      <w:r w:rsidRPr="004943B2">
        <w:rPr>
          <w:rFonts w:asciiTheme="minorHAnsi" w:hAnsiTheme="minorHAnsi"/>
        </w:rPr>
        <w:t>P</w:t>
      </w:r>
      <w:r w:rsidR="00BE2ED6" w:rsidRPr="004943B2">
        <w:rPr>
          <w:rFonts w:asciiTheme="minorHAnsi" w:hAnsiTheme="minorHAnsi"/>
        </w:rPr>
        <w:t>ractitioners need to carefully review the title search(s), title diagram</w:t>
      </w:r>
      <w:r w:rsidR="009813F1" w:rsidRPr="004943B2">
        <w:rPr>
          <w:rFonts w:asciiTheme="minorHAnsi" w:hAnsiTheme="minorHAnsi"/>
        </w:rPr>
        <w:t>(s)</w:t>
      </w:r>
      <w:r w:rsidR="00BE2ED6" w:rsidRPr="004943B2">
        <w:rPr>
          <w:rFonts w:asciiTheme="minorHAnsi" w:hAnsiTheme="minorHAnsi"/>
        </w:rPr>
        <w:t xml:space="preserve"> and client instructions, and check that </w:t>
      </w:r>
      <w:r w:rsidR="00C37F51" w:rsidRPr="004943B2">
        <w:rPr>
          <w:rFonts w:asciiTheme="minorHAnsi" w:hAnsiTheme="minorHAnsi"/>
        </w:rPr>
        <w:t xml:space="preserve">the </w:t>
      </w:r>
      <w:r w:rsidR="00BE2ED6" w:rsidRPr="004943B2">
        <w:rPr>
          <w:rFonts w:asciiTheme="minorHAnsi" w:hAnsiTheme="minorHAnsi"/>
        </w:rPr>
        <w:t xml:space="preserve">particulars of sale in the contract reflect the land </w:t>
      </w:r>
      <w:r w:rsidR="009813F1" w:rsidRPr="004943B2">
        <w:rPr>
          <w:rFonts w:asciiTheme="minorHAnsi" w:hAnsiTheme="minorHAnsi"/>
        </w:rPr>
        <w:t>what</w:t>
      </w:r>
      <w:r w:rsidR="00BE2ED6" w:rsidRPr="004943B2">
        <w:rPr>
          <w:rFonts w:asciiTheme="minorHAnsi" w:hAnsiTheme="minorHAnsi"/>
        </w:rPr>
        <w:t xml:space="preserve"> the vendor intends to sell. </w:t>
      </w:r>
    </w:p>
    <w:p w14:paraId="7304E194" w14:textId="1941C2B2" w:rsidR="00B84943" w:rsidRPr="00263CD2" w:rsidRDefault="00B84943" w:rsidP="00B84943">
      <w:pPr>
        <w:spacing w:before="40" w:after="40"/>
        <w:rPr>
          <w:rStyle w:val="Hyperlink"/>
        </w:rPr>
      </w:pPr>
      <w:r w:rsidRPr="004943B2">
        <w:rPr>
          <w:rFonts w:asciiTheme="minorHAnsi" w:hAnsiTheme="minorHAnsi"/>
          <w:i/>
          <w:sz w:val="17"/>
          <w:szCs w:val="17"/>
        </w:rPr>
        <w:t xml:space="preserve">Further information:  </w:t>
      </w:r>
      <w:hyperlink r:id="rId17">
        <w:r w:rsidRPr="00263CD2">
          <w:rPr>
            <w:rStyle w:val="Hyperlink"/>
            <w:szCs w:val="17"/>
          </w:rPr>
          <w:t>LRS Customer Information Bulletin 228</w:t>
        </w:r>
      </w:hyperlink>
      <w:r w:rsidRPr="00263CD2">
        <w:rPr>
          <w:rFonts w:asciiTheme="minorHAnsi" w:hAnsiTheme="minorHAnsi"/>
          <w:sz w:val="17"/>
          <w:szCs w:val="17"/>
        </w:rPr>
        <w:t xml:space="preserve">   |   </w:t>
      </w:r>
      <w:hyperlink r:id="rId18">
        <w:r w:rsidRPr="00263CD2">
          <w:rPr>
            <w:rStyle w:val="Hyperlink"/>
            <w:szCs w:val="17"/>
          </w:rPr>
          <w:t>Conveyancing of accessory or car park lots on strata plans or cluster plans</w:t>
        </w:r>
      </w:hyperlink>
      <w:r w:rsidRPr="00263CD2">
        <w:rPr>
          <w:rFonts w:asciiTheme="minorHAnsi" w:hAnsiTheme="minorHAnsi"/>
          <w:sz w:val="17"/>
          <w:szCs w:val="17"/>
        </w:rPr>
        <w:t xml:space="preserve">   |   </w:t>
      </w:r>
      <w:hyperlink r:id="rId19">
        <w:r w:rsidRPr="00263CD2">
          <w:rPr>
            <w:rStyle w:val="Hyperlink"/>
            <w:szCs w:val="17"/>
          </w:rPr>
          <w:t>LRS guide to dealing with restricted accessory and carpark lots</w:t>
        </w:r>
      </w:hyperlink>
      <w:r w:rsidRPr="00263CD2">
        <w:rPr>
          <w:rFonts w:asciiTheme="minorHAnsi" w:hAnsiTheme="minorHAnsi"/>
          <w:sz w:val="17"/>
          <w:szCs w:val="17"/>
        </w:rPr>
        <w:t xml:space="preserve">   |   </w:t>
      </w:r>
      <w:hyperlink r:id="rId20" w:history="1">
        <w:r w:rsidRPr="00263CD2">
          <w:rPr>
            <w:rStyle w:val="Hyperlink"/>
            <w:szCs w:val="17"/>
          </w:rPr>
          <w:t>Determining the right diagram location document</w:t>
        </w:r>
      </w:hyperlink>
    </w:p>
    <w:p w14:paraId="1D4EDAA3"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E3  Who the vendor is</w:t>
      </w:r>
    </w:p>
    <w:p w14:paraId="75265A08" w14:textId="17EB9E9C" w:rsidR="00B84943" w:rsidRPr="004943B2" w:rsidRDefault="00B84943" w:rsidP="00B84943">
      <w:pPr>
        <w:spacing w:after="40"/>
        <w:rPr>
          <w:rFonts w:asciiTheme="minorHAnsi" w:hAnsiTheme="minorHAnsi"/>
        </w:rPr>
      </w:pPr>
      <w:r w:rsidRPr="004943B2">
        <w:rPr>
          <w:rFonts w:asciiTheme="minorHAnsi" w:hAnsiTheme="minorHAnsi"/>
        </w:rPr>
        <w:t>The vendor named in the contract and the</w:t>
      </w:r>
      <w:r w:rsidR="00C31344">
        <w:rPr>
          <w:rFonts w:asciiTheme="minorHAnsi" w:hAnsiTheme="minorHAnsi"/>
        </w:rPr>
        <w:t xml:space="preserve"> section 32</w:t>
      </w:r>
      <w:r w:rsidRPr="004943B2">
        <w:rPr>
          <w:rFonts w:asciiTheme="minorHAnsi" w:hAnsiTheme="minorHAnsi"/>
        </w:rPr>
        <w:t xml:space="preserve"> statement should be the registered proprietor. Where it is not, the </w:t>
      </w:r>
      <w:r w:rsidR="00D34E26" w:rsidRPr="004943B2">
        <w:rPr>
          <w:rFonts w:asciiTheme="minorHAnsi" w:hAnsiTheme="minorHAnsi"/>
        </w:rPr>
        <w:t xml:space="preserve">section 32 </w:t>
      </w:r>
      <w:r w:rsidRPr="004943B2">
        <w:rPr>
          <w:rFonts w:asciiTheme="minorHAnsi" w:hAnsiTheme="minorHAnsi"/>
        </w:rPr>
        <w:t xml:space="preserve">statement must disclose the vendor’s right or power to sell. Deceased estates, </w:t>
      </w:r>
      <w:r w:rsidR="00A478E9" w:rsidRPr="004943B2">
        <w:rPr>
          <w:rFonts w:asciiTheme="minorHAnsi" w:hAnsiTheme="minorHAnsi"/>
        </w:rPr>
        <w:t xml:space="preserve">an attorney </w:t>
      </w:r>
      <w:r w:rsidR="00961ED5" w:rsidRPr="004943B2">
        <w:rPr>
          <w:rFonts w:asciiTheme="minorHAnsi" w:hAnsiTheme="minorHAnsi"/>
        </w:rPr>
        <w:t xml:space="preserve">acting for the registered proprietors or </w:t>
      </w:r>
      <w:r w:rsidRPr="004943B2">
        <w:rPr>
          <w:rFonts w:asciiTheme="minorHAnsi" w:hAnsiTheme="minorHAnsi"/>
        </w:rPr>
        <w:t xml:space="preserve">companies that have changed name, and </w:t>
      </w:r>
      <w:proofErr w:type="gramStart"/>
      <w:r w:rsidRPr="004943B2">
        <w:rPr>
          <w:rFonts w:asciiTheme="minorHAnsi" w:hAnsiTheme="minorHAnsi"/>
        </w:rPr>
        <w:t>mortgagees</w:t>
      </w:r>
      <w:proofErr w:type="gramEnd"/>
      <w:r w:rsidRPr="004943B2">
        <w:rPr>
          <w:rFonts w:asciiTheme="minorHAnsi" w:hAnsiTheme="minorHAnsi"/>
        </w:rPr>
        <w:t xml:space="preserve"> in possession </w:t>
      </w:r>
      <w:r w:rsidR="000F27FA" w:rsidRPr="004943B2">
        <w:rPr>
          <w:rFonts w:asciiTheme="minorHAnsi" w:hAnsiTheme="minorHAnsi"/>
        </w:rPr>
        <w:t xml:space="preserve">are common </w:t>
      </w:r>
      <w:r w:rsidRPr="004943B2">
        <w:rPr>
          <w:rFonts w:asciiTheme="minorHAnsi" w:hAnsiTheme="minorHAnsi"/>
        </w:rPr>
        <w:t>scenario</w:t>
      </w:r>
      <w:r w:rsidR="000F27FA" w:rsidRPr="004943B2">
        <w:rPr>
          <w:rFonts w:asciiTheme="minorHAnsi" w:hAnsiTheme="minorHAnsi"/>
        </w:rPr>
        <w:t>s</w:t>
      </w:r>
      <w:r w:rsidRPr="004943B2">
        <w:rPr>
          <w:rFonts w:asciiTheme="minorHAnsi" w:hAnsiTheme="minorHAnsi"/>
        </w:rPr>
        <w:t xml:space="preserve"> </w:t>
      </w:r>
      <w:r w:rsidR="000F27FA" w:rsidRPr="004943B2">
        <w:rPr>
          <w:rFonts w:asciiTheme="minorHAnsi" w:hAnsiTheme="minorHAnsi"/>
        </w:rPr>
        <w:t>where the vendor’s right to sell must be clearly d</w:t>
      </w:r>
      <w:r w:rsidR="00911254" w:rsidRPr="004943B2">
        <w:rPr>
          <w:rFonts w:asciiTheme="minorHAnsi" w:hAnsiTheme="minorHAnsi"/>
        </w:rPr>
        <w:t>isclose</w:t>
      </w:r>
      <w:r w:rsidR="009F0E0A" w:rsidRPr="004943B2">
        <w:rPr>
          <w:rFonts w:asciiTheme="minorHAnsi" w:hAnsiTheme="minorHAnsi"/>
        </w:rPr>
        <w:t>d (including supporting documents)</w:t>
      </w:r>
      <w:r w:rsidR="00911254" w:rsidRPr="004943B2">
        <w:rPr>
          <w:rFonts w:asciiTheme="minorHAnsi" w:hAnsiTheme="minorHAnsi"/>
        </w:rPr>
        <w:t xml:space="preserve"> under section </w:t>
      </w:r>
      <w:r w:rsidR="009F0E0A" w:rsidRPr="004943B2">
        <w:rPr>
          <w:rFonts w:asciiTheme="minorHAnsi" w:hAnsiTheme="minorHAnsi"/>
        </w:rPr>
        <w:t>32I of the Sale of Land Act.</w:t>
      </w:r>
    </w:p>
    <w:p w14:paraId="5B58D54C" w14:textId="77777777" w:rsidR="00B84943" w:rsidRPr="004943B2" w:rsidRDefault="00B84943" w:rsidP="00B84943">
      <w:pPr>
        <w:spacing w:before="40" w:after="40"/>
        <w:rPr>
          <w:rFonts w:asciiTheme="minorHAnsi" w:hAnsiTheme="minorHAnsi"/>
        </w:rPr>
      </w:pPr>
      <w:r w:rsidRPr="004943B2">
        <w:rPr>
          <w:rFonts w:asciiTheme="minorHAnsi" w:hAnsiTheme="minorHAnsi"/>
          <w:i/>
          <w:sz w:val="17"/>
        </w:rPr>
        <w:t xml:space="preserve">Further information: </w:t>
      </w:r>
      <w:r w:rsidRPr="00263CD2">
        <w:rPr>
          <w:rStyle w:val="Hyperlink"/>
          <w:szCs w:val="17"/>
        </w:rPr>
        <w:t xml:space="preserve"> </w:t>
      </w:r>
      <w:hyperlink r:id="rId21">
        <w:r w:rsidRPr="00263CD2">
          <w:rPr>
            <w:rStyle w:val="Hyperlink"/>
            <w:szCs w:val="17"/>
          </w:rPr>
          <w:t>Section 32I of the Sale of Land Act</w:t>
        </w:r>
      </w:hyperlink>
    </w:p>
    <w:p w14:paraId="79FBB021" w14:textId="71951B8E" w:rsidR="00B84943" w:rsidRPr="004943B2" w:rsidRDefault="00B84943" w:rsidP="00B84943">
      <w:pPr>
        <w:spacing w:before="180" w:after="40"/>
        <w:rPr>
          <w:rFonts w:asciiTheme="minorHAnsi" w:hAnsiTheme="minorHAnsi"/>
          <w:b/>
          <w:color w:val="1F3364"/>
          <w:sz w:val="21"/>
          <w:szCs w:val="21"/>
        </w:rPr>
      </w:pPr>
      <w:r w:rsidRPr="004943B2">
        <w:rPr>
          <w:rFonts w:asciiTheme="minorHAnsi" w:hAnsiTheme="minorHAnsi"/>
          <w:b/>
          <w:color w:val="1F3364"/>
          <w:sz w:val="21"/>
          <w:szCs w:val="21"/>
        </w:rPr>
        <w:t>E</w:t>
      </w:r>
      <w:proofErr w:type="gramStart"/>
      <w:r w:rsidRPr="004943B2">
        <w:rPr>
          <w:rFonts w:asciiTheme="minorHAnsi" w:hAnsiTheme="minorHAnsi"/>
          <w:b/>
          <w:color w:val="1F3364"/>
          <w:sz w:val="21"/>
          <w:szCs w:val="21"/>
        </w:rPr>
        <w:t xml:space="preserve">4  </w:t>
      </w:r>
      <w:r w:rsidRPr="004943B2">
        <w:rPr>
          <w:rFonts w:asciiTheme="minorHAnsi" w:hAnsiTheme="minorHAnsi"/>
          <w:b/>
          <w:bCs/>
          <w:color w:val="1F3364"/>
          <w:sz w:val="21"/>
          <w:szCs w:val="21"/>
        </w:rPr>
        <w:t>Errors</w:t>
      </w:r>
      <w:proofErr w:type="gramEnd"/>
      <w:r w:rsidRPr="004943B2">
        <w:rPr>
          <w:rFonts w:asciiTheme="minorHAnsi" w:hAnsiTheme="minorHAnsi"/>
          <w:b/>
          <w:bCs/>
          <w:color w:val="1F3364"/>
          <w:sz w:val="21"/>
          <w:szCs w:val="21"/>
        </w:rPr>
        <w:t xml:space="preserve"> relating to certificates and documents to be annexed to </w:t>
      </w:r>
      <w:proofErr w:type="gramStart"/>
      <w:r w:rsidRPr="004943B2">
        <w:rPr>
          <w:rFonts w:asciiTheme="minorHAnsi" w:hAnsiTheme="minorHAnsi"/>
          <w:b/>
          <w:bCs/>
          <w:color w:val="1F3364"/>
          <w:sz w:val="21"/>
          <w:szCs w:val="21"/>
        </w:rPr>
        <w:t>the section</w:t>
      </w:r>
      <w:proofErr w:type="gramEnd"/>
      <w:r w:rsidRPr="004943B2">
        <w:rPr>
          <w:rFonts w:asciiTheme="minorHAnsi" w:hAnsiTheme="minorHAnsi"/>
          <w:b/>
          <w:bCs/>
          <w:color w:val="1F3364"/>
          <w:sz w:val="21"/>
          <w:szCs w:val="21"/>
        </w:rPr>
        <w:t xml:space="preserve"> 32 statement</w:t>
      </w:r>
    </w:p>
    <w:p w14:paraId="3F53B6CD" w14:textId="194E6A84" w:rsidR="00EA72F0" w:rsidRPr="004943B2" w:rsidRDefault="00486785" w:rsidP="1A3134AD">
      <w:pPr>
        <w:spacing w:after="40"/>
        <w:rPr>
          <w:rFonts w:asciiTheme="minorHAnsi" w:hAnsiTheme="minorHAnsi"/>
        </w:rPr>
      </w:pPr>
      <w:r w:rsidRPr="004943B2">
        <w:rPr>
          <w:rFonts w:asciiTheme="minorHAnsi" w:hAnsiTheme="minorHAnsi"/>
        </w:rPr>
        <w:t xml:space="preserve">Defective section 32 statements can arise where the practitioner did not obtain and annex a certificate to the section 32 statement that would have disclosed required information (such as an image search </w:t>
      </w:r>
      <w:r w:rsidR="0A459047" w:rsidRPr="004943B2">
        <w:rPr>
          <w:rFonts w:asciiTheme="minorHAnsi" w:hAnsiTheme="minorHAnsi"/>
        </w:rPr>
        <w:t>o</w:t>
      </w:r>
      <w:r w:rsidR="55D65C67" w:rsidRPr="004943B2">
        <w:rPr>
          <w:rFonts w:asciiTheme="minorHAnsi" w:hAnsiTheme="minorHAnsi"/>
        </w:rPr>
        <w:t>r</w:t>
      </w:r>
      <w:r w:rsidRPr="004943B2">
        <w:rPr>
          <w:rFonts w:asciiTheme="minorHAnsi" w:hAnsiTheme="minorHAnsi"/>
        </w:rPr>
        <w:t xml:space="preserve"> a section 173 agreement that encumbered the property title).</w:t>
      </w:r>
      <w:r w:rsidR="00FA1567" w:rsidRPr="004943B2">
        <w:rPr>
          <w:rFonts w:asciiTheme="minorHAnsi" w:hAnsiTheme="minorHAnsi"/>
        </w:rPr>
        <w:t xml:space="preserve"> Alternatively, </w:t>
      </w:r>
      <w:r w:rsidR="00F21860" w:rsidRPr="004943B2">
        <w:rPr>
          <w:rFonts w:asciiTheme="minorHAnsi" w:hAnsiTheme="minorHAnsi"/>
        </w:rPr>
        <w:t xml:space="preserve">errors can occur where </w:t>
      </w:r>
      <w:r w:rsidR="00FA1567" w:rsidRPr="004943B2">
        <w:rPr>
          <w:rFonts w:asciiTheme="minorHAnsi" w:hAnsiTheme="minorHAnsi"/>
        </w:rPr>
        <w:t>the certificate was ordered but was not received and annexed to the section 32 stateme</w:t>
      </w:r>
      <w:r w:rsidR="003D3B4D" w:rsidRPr="004943B2">
        <w:rPr>
          <w:rFonts w:asciiTheme="minorHAnsi" w:hAnsiTheme="minorHAnsi"/>
        </w:rPr>
        <w:t xml:space="preserve">nt, when the section 32 statement was </w:t>
      </w:r>
      <w:proofErr w:type="spellStart"/>
      <w:r w:rsidR="003D3B4D" w:rsidRPr="004943B2">
        <w:rPr>
          <w:rFonts w:asciiTheme="minorHAnsi" w:hAnsiTheme="minorHAnsi"/>
        </w:rPr>
        <w:t>finalised</w:t>
      </w:r>
      <w:proofErr w:type="spellEnd"/>
      <w:r w:rsidR="003D3B4D" w:rsidRPr="004943B2">
        <w:rPr>
          <w:rFonts w:asciiTheme="minorHAnsi" w:hAnsiTheme="minorHAnsi"/>
        </w:rPr>
        <w:t>.</w:t>
      </w:r>
    </w:p>
    <w:p w14:paraId="14AE5224" w14:textId="31B88F94" w:rsidR="00C802AB" w:rsidRPr="004943B2" w:rsidRDefault="00571F8F" w:rsidP="1A3134AD">
      <w:pPr>
        <w:spacing w:after="40"/>
        <w:rPr>
          <w:rFonts w:asciiTheme="minorHAnsi" w:hAnsiTheme="minorHAnsi"/>
        </w:rPr>
      </w:pPr>
      <w:r w:rsidRPr="004943B2">
        <w:rPr>
          <w:rFonts w:asciiTheme="minorHAnsi" w:hAnsiTheme="minorHAnsi"/>
        </w:rPr>
        <w:t>Once</w:t>
      </w:r>
      <w:r w:rsidR="00EA72F0" w:rsidRPr="004943B2">
        <w:rPr>
          <w:rFonts w:asciiTheme="minorHAnsi" w:hAnsiTheme="minorHAnsi"/>
        </w:rPr>
        <w:t xml:space="preserve"> the certificate </w:t>
      </w:r>
      <w:r w:rsidRPr="004943B2">
        <w:rPr>
          <w:rFonts w:asciiTheme="minorHAnsi" w:hAnsiTheme="minorHAnsi"/>
        </w:rPr>
        <w:t>is</w:t>
      </w:r>
      <w:r w:rsidR="266572C8" w:rsidRPr="004943B2">
        <w:rPr>
          <w:rFonts w:asciiTheme="minorHAnsi" w:hAnsiTheme="minorHAnsi"/>
        </w:rPr>
        <w:t xml:space="preserve"> </w:t>
      </w:r>
      <w:r w:rsidR="003D3B4D" w:rsidRPr="004943B2">
        <w:rPr>
          <w:rFonts w:asciiTheme="minorHAnsi" w:hAnsiTheme="minorHAnsi"/>
        </w:rPr>
        <w:t xml:space="preserve">received, </w:t>
      </w:r>
      <w:r w:rsidRPr="004943B2">
        <w:rPr>
          <w:rFonts w:asciiTheme="minorHAnsi" w:hAnsiTheme="minorHAnsi"/>
        </w:rPr>
        <w:t xml:space="preserve">practitioners must </w:t>
      </w:r>
      <w:r w:rsidR="00EA72F0" w:rsidRPr="004943B2">
        <w:rPr>
          <w:rFonts w:asciiTheme="minorHAnsi" w:hAnsiTheme="minorHAnsi"/>
        </w:rPr>
        <w:t xml:space="preserve">properly </w:t>
      </w:r>
      <w:r w:rsidR="226386E7" w:rsidRPr="004943B2">
        <w:rPr>
          <w:rFonts w:asciiTheme="minorHAnsi" w:hAnsiTheme="minorHAnsi"/>
        </w:rPr>
        <w:t>review</w:t>
      </w:r>
      <w:r w:rsidR="00B05C90" w:rsidRPr="004943B2">
        <w:rPr>
          <w:rFonts w:asciiTheme="minorHAnsi" w:hAnsiTheme="minorHAnsi"/>
        </w:rPr>
        <w:t xml:space="preserve"> it to ensure that it does not </w:t>
      </w:r>
      <w:r w:rsidR="226386E7" w:rsidRPr="004943B2">
        <w:rPr>
          <w:rFonts w:asciiTheme="minorHAnsi" w:hAnsiTheme="minorHAnsi"/>
        </w:rPr>
        <w:t>contain</w:t>
      </w:r>
      <w:r w:rsidR="00EA72F0" w:rsidRPr="004943B2">
        <w:rPr>
          <w:rFonts w:asciiTheme="minorHAnsi" w:hAnsiTheme="minorHAnsi"/>
        </w:rPr>
        <w:t xml:space="preserve"> information that </w:t>
      </w:r>
      <w:r w:rsidR="226386E7" w:rsidRPr="004943B2">
        <w:rPr>
          <w:rFonts w:asciiTheme="minorHAnsi" w:hAnsiTheme="minorHAnsi"/>
        </w:rPr>
        <w:t>require</w:t>
      </w:r>
      <w:r w:rsidR="001F09F3" w:rsidRPr="004943B2">
        <w:rPr>
          <w:rFonts w:asciiTheme="minorHAnsi" w:hAnsiTheme="minorHAnsi"/>
        </w:rPr>
        <w:t>s</w:t>
      </w:r>
      <w:r w:rsidR="00EA72F0" w:rsidRPr="004943B2">
        <w:rPr>
          <w:rFonts w:asciiTheme="minorHAnsi" w:hAnsiTheme="minorHAnsi"/>
        </w:rPr>
        <w:t xml:space="preserve"> further investigation and additional disclosure in </w:t>
      </w:r>
      <w:proofErr w:type="gramStart"/>
      <w:r w:rsidR="00EA72F0" w:rsidRPr="004943B2">
        <w:rPr>
          <w:rFonts w:asciiTheme="minorHAnsi" w:hAnsiTheme="minorHAnsi"/>
        </w:rPr>
        <w:t>the section</w:t>
      </w:r>
      <w:proofErr w:type="gramEnd"/>
      <w:r w:rsidR="00EA72F0" w:rsidRPr="004943B2">
        <w:rPr>
          <w:rFonts w:asciiTheme="minorHAnsi" w:hAnsiTheme="minorHAnsi"/>
        </w:rPr>
        <w:t xml:space="preserve"> 32 statement. </w:t>
      </w:r>
    </w:p>
    <w:p w14:paraId="00157A84" w14:textId="77777777" w:rsidR="00B84943" w:rsidRPr="004943B2" w:rsidRDefault="00B84943" w:rsidP="00B84943">
      <w:pPr>
        <w:spacing w:before="40" w:after="40"/>
        <w:rPr>
          <w:rFonts w:asciiTheme="minorHAnsi" w:hAnsiTheme="minorHAnsi"/>
        </w:rPr>
      </w:pPr>
      <w:r w:rsidRPr="004943B2">
        <w:rPr>
          <w:rFonts w:asciiTheme="minorHAnsi" w:hAnsiTheme="minorHAnsi"/>
          <w:i/>
          <w:sz w:val="17"/>
        </w:rPr>
        <w:t xml:space="preserve">Further information:  </w:t>
      </w:r>
      <w:hyperlink r:id="rId22">
        <w:r w:rsidRPr="00263CD2">
          <w:rPr>
            <w:rStyle w:val="Hyperlink"/>
            <w:szCs w:val="17"/>
          </w:rPr>
          <w:t>Section 32 statements: the basics</w:t>
        </w:r>
      </w:hyperlink>
      <w:r w:rsidRPr="00263CD2">
        <w:rPr>
          <w:rStyle w:val="Hyperlink"/>
          <w:szCs w:val="17"/>
        </w:rPr>
        <w:t xml:space="preserve">   </w:t>
      </w:r>
      <w:r w:rsidRPr="004943B2">
        <w:rPr>
          <w:rFonts w:asciiTheme="minorHAnsi" w:hAnsiTheme="minorHAnsi"/>
          <w:sz w:val="17"/>
        </w:rPr>
        <w:t xml:space="preserve">|   </w:t>
      </w:r>
      <w:hyperlink r:id="rId23">
        <w:r w:rsidRPr="00263CD2">
          <w:rPr>
            <w:rStyle w:val="Hyperlink"/>
            <w:szCs w:val="17"/>
          </w:rPr>
          <w:t>Section 32 Vendor Statements: avoiding the perils and pitfalls (webinar)</w:t>
        </w:r>
      </w:hyperlink>
    </w:p>
    <w:p w14:paraId="5309DB71" w14:textId="1366A0C9" w:rsidR="00B84943" w:rsidRPr="004943B2" w:rsidRDefault="00B84943" w:rsidP="00B84943">
      <w:pPr>
        <w:spacing w:before="180" w:after="40"/>
        <w:rPr>
          <w:rFonts w:asciiTheme="minorHAnsi" w:hAnsiTheme="minorHAnsi"/>
          <w:b/>
          <w:color w:val="1F3364"/>
          <w:sz w:val="21"/>
          <w:szCs w:val="21"/>
        </w:rPr>
      </w:pPr>
      <w:r w:rsidRPr="004943B2">
        <w:rPr>
          <w:rFonts w:asciiTheme="minorHAnsi" w:hAnsiTheme="minorHAnsi"/>
          <w:b/>
          <w:color w:val="1F3364"/>
          <w:sz w:val="21"/>
          <w:szCs w:val="21"/>
        </w:rPr>
        <w:t xml:space="preserve">E5  Easements, covenants and </w:t>
      </w:r>
      <w:r w:rsidRPr="004943B2">
        <w:rPr>
          <w:rFonts w:asciiTheme="minorHAnsi" w:hAnsiTheme="minorHAnsi"/>
          <w:b/>
          <w:bCs/>
          <w:color w:val="1F3364"/>
          <w:sz w:val="21"/>
          <w:szCs w:val="21"/>
        </w:rPr>
        <w:t>restrictions</w:t>
      </w:r>
    </w:p>
    <w:p w14:paraId="739A0AD1" w14:textId="49CCC41A" w:rsidR="00EA2CC6" w:rsidRPr="004943B2" w:rsidRDefault="00AF453F" w:rsidP="1A3134AD">
      <w:pPr>
        <w:spacing w:after="40"/>
        <w:rPr>
          <w:rFonts w:asciiTheme="minorHAnsi" w:hAnsiTheme="minorHAnsi"/>
        </w:rPr>
      </w:pPr>
      <w:r w:rsidRPr="004943B2">
        <w:rPr>
          <w:rFonts w:asciiTheme="minorHAnsi" w:hAnsiTheme="minorHAnsi"/>
        </w:rPr>
        <w:t xml:space="preserve">Easements, covenants, restrictions and encumbrances on title (such as section 173 agreements) need to be correctly disclosed in </w:t>
      </w:r>
      <w:proofErr w:type="gramStart"/>
      <w:r w:rsidRPr="004943B2">
        <w:rPr>
          <w:rFonts w:asciiTheme="minorHAnsi" w:hAnsiTheme="minorHAnsi"/>
        </w:rPr>
        <w:t>the section</w:t>
      </w:r>
      <w:proofErr w:type="gramEnd"/>
      <w:r w:rsidRPr="004943B2">
        <w:rPr>
          <w:rFonts w:asciiTheme="minorHAnsi" w:hAnsiTheme="minorHAnsi"/>
        </w:rPr>
        <w:t xml:space="preserve"> </w:t>
      </w:r>
      <w:proofErr w:type="gramStart"/>
      <w:r w:rsidRPr="004943B2">
        <w:rPr>
          <w:rFonts w:asciiTheme="minorHAnsi" w:hAnsiTheme="minorHAnsi"/>
        </w:rPr>
        <w:t>32 statement</w:t>
      </w:r>
      <w:proofErr w:type="gramEnd"/>
      <w:r w:rsidRPr="004943B2">
        <w:rPr>
          <w:rFonts w:asciiTheme="minorHAnsi" w:hAnsiTheme="minorHAnsi"/>
        </w:rPr>
        <w:t xml:space="preserve">, whether registered or unregistered. </w:t>
      </w:r>
    </w:p>
    <w:p w14:paraId="387A32C7" w14:textId="02413553" w:rsidR="00353755" w:rsidRPr="004943B2" w:rsidRDefault="007B00F3" w:rsidP="1A3134AD">
      <w:pPr>
        <w:spacing w:after="40"/>
        <w:rPr>
          <w:rFonts w:asciiTheme="minorHAnsi" w:hAnsiTheme="minorHAnsi"/>
          <w:highlight w:val="yellow"/>
        </w:rPr>
      </w:pPr>
      <w:r w:rsidRPr="004943B2">
        <w:rPr>
          <w:rFonts w:asciiTheme="minorHAnsi" w:hAnsiTheme="minorHAnsi"/>
        </w:rPr>
        <w:t xml:space="preserve">Under section 32C of the Sale of Land Act, the terms and conditions of the encumbrance must be disclosed. A register search statement may show that a restrictive covenant or section 173 agreement encumbers the </w:t>
      </w:r>
      <w:proofErr w:type="gramStart"/>
      <w:r w:rsidRPr="004943B2">
        <w:rPr>
          <w:rFonts w:asciiTheme="minorHAnsi" w:hAnsiTheme="minorHAnsi"/>
        </w:rPr>
        <w:t>title, but</w:t>
      </w:r>
      <w:proofErr w:type="gramEnd"/>
      <w:r w:rsidRPr="004943B2">
        <w:rPr>
          <w:rFonts w:asciiTheme="minorHAnsi" w:hAnsiTheme="minorHAnsi"/>
        </w:rPr>
        <w:t xml:space="preserve"> is not enough. In this scenario, practitioners should obtain an image search of the relevant restrictive covenant or section 173 agreement and annex it to the section 32 statement. The image search will disclose the terms and conditions of the restrictive covenant or section 173 agreement.  </w:t>
      </w:r>
    </w:p>
    <w:p w14:paraId="3C344E73" w14:textId="67224F39" w:rsidR="00B84943" w:rsidRPr="004943B2" w:rsidRDefault="00353755" w:rsidP="00B84943">
      <w:pPr>
        <w:spacing w:after="40"/>
        <w:rPr>
          <w:rFonts w:asciiTheme="minorHAnsi" w:hAnsiTheme="minorHAnsi"/>
        </w:rPr>
      </w:pPr>
      <w:r w:rsidRPr="004943B2">
        <w:rPr>
          <w:rFonts w:asciiTheme="minorHAnsi" w:hAnsiTheme="minorHAnsi"/>
        </w:rPr>
        <w:t xml:space="preserve">In addition, vendors also need to disclose any existing failure to comply with any such easements, covenants or restrictions, etc. For example, a structure built over an easement or a structure in breach of a covenant is a failure to </w:t>
      </w:r>
      <w:proofErr w:type="gramStart"/>
      <w:r w:rsidRPr="004943B2">
        <w:rPr>
          <w:rFonts w:asciiTheme="minorHAnsi" w:hAnsiTheme="minorHAnsi"/>
        </w:rPr>
        <w:t>comply</w:t>
      </w:r>
      <w:r w:rsidR="00AA67B9" w:rsidRPr="004943B2">
        <w:rPr>
          <w:rFonts w:asciiTheme="minorHAnsi" w:hAnsiTheme="minorHAnsi"/>
        </w:rPr>
        <w:t>,</w:t>
      </w:r>
      <w:r w:rsidRPr="004943B2">
        <w:rPr>
          <w:rFonts w:asciiTheme="minorHAnsi" w:hAnsiTheme="minorHAnsi"/>
        </w:rPr>
        <w:t xml:space="preserve"> and</w:t>
      </w:r>
      <w:proofErr w:type="gramEnd"/>
      <w:r w:rsidRPr="004943B2">
        <w:rPr>
          <w:rFonts w:asciiTheme="minorHAnsi" w:hAnsiTheme="minorHAnsi"/>
        </w:rPr>
        <w:t xml:space="preserve"> must be disclosed. </w:t>
      </w:r>
    </w:p>
    <w:p w14:paraId="3DB2756F" w14:textId="77777777" w:rsidR="00B84943" w:rsidRPr="004943B2" w:rsidRDefault="00B84943" w:rsidP="00B84943">
      <w:pPr>
        <w:spacing w:before="40" w:after="40"/>
        <w:rPr>
          <w:rFonts w:asciiTheme="minorHAnsi" w:hAnsiTheme="minorHAnsi"/>
        </w:rPr>
      </w:pPr>
      <w:r w:rsidRPr="004943B2">
        <w:rPr>
          <w:rFonts w:asciiTheme="minorHAnsi" w:hAnsiTheme="minorHAnsi"/>
          <w:i/>
          <w:sz w:val="17"/>
        </w:rPr>
        <w:t xml:space="preserve">Further information:  </w:t>
      </w:r>
      <w:hyperlink r:id="rId24">
        <w:r w:rsidRPr="00263CD2">
          <w:rPr>
            <w:rStyle w:val="Hyperlink"/>
            <w:szCs w:val="17"/>
          </w:rPr>
          <w:t>Section 32C of the Sale of Land Act</w:t>
        </w:r>
      </w:hyperlink>
    </w:p>
    <w:p w14:paraId="024FED22"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szCs w:val="21"/>
        </w:rPr>
        <w:lastRenderedPageBreak/>
        <w:t>E6  Comparing the plan to the ground</w:t>
      </w:r>
    </w:p>
    <w:p w14:paraId="4F48E19B" w14:textId="39EE3C0B" w:rsidR="00B84943" w:rsidRPr="004943B2" w:rsidRDefault="00B84943" w:rsidP="00B84943">
      <w:pPr>
        <w:spacing w:after="40"/>
        <w:rPr>
          <w:rFonts w:asciiTheme="minorHAnsi" w:hAnsiTheme="minorHAnsi"/>
        </w:rPr>
      </w:pPr>
      <w:r w:rsidRPr="004943B2">
        <w:rPr>
          <w:rFonts w:asciiTheme="minorHAnsi" w:hAnsiTheme="minorHAnsi"/>
        </w:rPr>
        <w:t xml:space="preserve">Consider checking aerial imagery </w:t>
      </w:r>
      <w:r w:rsidR="00B00C43" w:rsidRPr="004943B2">
        <w:rPr>
          <w:rFonts w:asciiTheme="minorHAnsi" w:hAnsiTheme="minorHAnsi"/>
        </w:rPr>
        <w:t>or</w:t>
      </w:r>
      <w:r w:rsidRPr="004943B2">
        <w:rPr>
          <w:rFonts w:asciiTheme="minorHAnsi" w:hAnsiTheme="minorHAnsi"/>
        </w:rPr>
        <w:t xml:space="preserve"> </w:t>
      </w:r>
      <w:hyperlink r:id="rId25" w:history="1">
        <w:proofErr w:type="spellStart"/>
        <w:r w:rsidRPr="004943B2">
          <w:rPr>
            <w:rStyle w:val="Hyperlink"/>
          </w:rPr>
          <w:t>Mapshare</w:t>
        </w:r>
        <w:proofErr w:type="spellEnd"/>
      </w:hyperlink>
      <w:r w:rsidRPr="004943B2">
        <w:rPr>
          <w:rFonts w:asciiTheme="minorHAnsi" w:hAnsiTheme="minorHAnsi"/>
        </w:rPr>
        <w:t xml:space="preserve"> for fence lines that do not follow the </w:t>
      </w:r>
      <w:r w:rsidR="00477539" w:rsidRPr="004943B2">
        <w:rPr>
          <w:rFonts w:asciiTheme="minorHAnsi" w:hAnsiTheme="minorHAnsi"/>
        </w:rPr>
        <w:t>title</w:t>
      </w:r>
      <w:r w:rsidRPr="004943B2">
        <w:rPr>
          <w:rFonts w:asciiTheme="minorHAnsi" w:hAnsiTheme="minorHAnsi"/>
        </w:rPr>
        <w:t xml:space="preserve"> boundaries, land occupied that is not owned, a driveway or garage over an easement, and structures that do not appear on any permit or undisclosed works.</w:t>
      </w:r>
      <w:r w:rsidR="2097BEF0" w:rsidRPr="004943B2">
        <w:rPr>
          <w:rFonts w:asciiTheme="minorHAnsi" w:hAnsiTheme="minorHAnsi"/>
        </w:rPr>
        <w:t xml:space="preserve"> These issues</w:t>
      </w:r>
      <w:r w:rsidR="009441E8" w:rsidRPr="004943B2">
        <w:rPr>
          <w:rFonts w:asciiTheme="minorHAnsi" w:hAnsiTheme="minorHAnsi"/>
        </w:rPr>
        <w:t xml:space="preserve"> need to be dealt with by a practitioner before the section 32 statement and contract are </w:t>
      </w:r>
      <w:proofErr w:type="spellStart"/>
      <w:r w:rsidR="009441E8" w:rsidRPr="004943B2">
        <w:rPr>
          <w:rFonts w:asciiTheme="minorHAnsi" w:hAnsiTheme="minorHAnsi"/>
        </w:rPr>
        <w:t>finalised</w:t>
      </w:r>
      <w:proofErr w:type="spellEnd"/>
      <w:r w:rsidR="009441E8" w:rsidRPr="004943B2">
        <w:rPr>
          <w:rFonts w:asciiTheme="minorHAnsi" w:hAnsiTheme="minorHAnsi"/>
        </w:rPr>
        <w:t>.</w:t>
      </w:r>
    </w:p>
    <w:p w14:paraId="3A03D040"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E7  Execution and authority</w:t>
      </w:r>
    </w:p>
    <w:p w14:paraId="3F590908" w14:textId="367E2C7E" w:rsidR="00B84943" w:rsidRPr="004943B2" w:rsidRDefault="00EF2EC4" w:rsidP="00B84943">
      <w:pPr>
        <w:spacing w:after="40"/>
        <w:rPr>
          <w:rFonts w:asciiTheme="minorHAnsi" w:hAnsiTheme="minorHAnsi"/>
        </w:rPr>
      </w:pPr>
      <w:r w:rsidRPr="004943B2">
        <w:rPr>
          <w:rFonts w:asciiTheme="minorHAnsi" w:hAnsiTheme="minorHAnsi"/>
        </w:rPr>
        <w:t xml:space="preserve">Practitioners should confirm that </w:t>
      </w:r>
      <w:r w:rsidR="00B84943" w:rsidRPr="004943B2" w:rsidDel="00C03FAF">
        <w:rPr>
          <w:rFonts w:asciiTheme="minorHAnsi" w:hAnsiTheme="minorHAnsi"/>
        </w:rPr>
        <w:t xml:space="preserve">the person </w:t>
      </w:r>
      <w:r w:rsidRPr="004943B2">
        <w:rPr>
          <w:rFonts w:asciiTheme="minorHAnsi" w:hAnsiTheme="minorHAnsi"/>
        </w:rPr>
        <w:t xml:space="preserve">signing the contract of sale </w:t>
      </w:r>
      <w:r w:rsidR="00B84943" w:rsidRPr="004943B2" w:rsidDel="00C03FAF">
        <w:rPr>
          <w:rFonts w:asciiTheme="minorHAnsi" w:hAnsiTheme="minorHAnsi"/>
        </w:rPr>
        <w:t>is</w:t>
      </w:r>
      <w:r w:rsidRPr="004943B2">
        <w:rPr>
          <w:rFonts w:asciiTheme="minorHAnsi" w:hAnsiTheme="minorHAnsi"/>
        </w:rPr>
        <w:t xml:space="preserve"> </w:t>
      </w:r>
      <w:proofErr w:type="spellStart"/>
      <w:r w:rsidRPr="004943B2">
        <w:rPr>
          <w:rFonts w:asciiTheme="minorHAnsi" w:hAnsiTheme="minorHAnsi"/>
        </w:rPr>
        <w:t>authori</w:t>
      </w:r>
      <w:r w:rsidR="003D5C74" w:rsidRPr="004943B2">
        <w:rPr>
          <w:rFonts w:asciiTheme="minorHAnsi" w:hAnsiTheme="minorHAnsi"/>
        </w:rPr>
        <w:t>sed</w:t>
      </w:r>
      <w:proofErr w:type="spellEnd"/>
      <w:r w:rsidR="00B84943" w:rsidRPr="004943B2">
        <w:rPr>
          <w:rFonts w:asciiTheme="minorHAnsi" w:hAnsiTheme="minorHAnsi"/>
        </w:rPr>
        <w:t xml:space="preserve"> to deal with the land</w:t>
      </w:r>
      <w:r w:rsidR="003D5C74" w:rsidRPr="004943B2">
        <w:rPr>
          <w:rFonts w:asciiTheme="minorHAnsi" w:hAnsiTheme="minorHAnsi"/>
        </w:rPr>
        <w:t>.</w:t>
      </w:r>
      <w:r w:rsidR="00B84943" w:rsidRPr="004943B2">
        <w:rPr>
          <w:rFonts w:asciiTheme="minorHAnsi" w:hAnsiTheme="minorHAnsi"/>
        </w:rPr>
        <w:t xml:space="preserve"> A </w:t>
      </w:r>
      <w:r w:rsidR="005015B4" w:rsidRPr="004943B2">
        <w:rPr>
          <w:rFonts w:asciiTheme="minorHAnsi" w:hAnsiTheme="minorHAnsi"/>
        </w:rPr>
        <w:t xml:space="preserve">client </w:t>
      </w:r>
      <w:r w:rsidR="003D5C74" w:rsidRPr="004943B2">
        <w:rPr>
          <w:rFonts w:asciiTheme="minorHAnsi" w:hAnsiTheme="minorHAnsi"/>
        </w:rPr>
        <w:t>who</w:t>
      </w:r>
      <w:r w:rsidR="005015B4" w:rsidRPr="004943B2">
        <w:rPr>
          <w:rFonts w:asciiTheme="minorHAnsi" w:hAnsiTheme="minorHAnsi"/>
        </w:rPr>
        <w:t xml:space="preserve"> does not have the co</w:t>
      </w:r>
      <w:r w:rsidR="00177A90" w:rsidRPr="004943B2">
        <w:rPr>
          <w:rFonts w:asciiTheme="minorHAnsi" w:hAnsiTheme="minorHAnsi"/>
        </w:rPr>
        <w:t xml:space="preserve">rrect legal authority to </w:t>
      </w:r>
      <w:proofErr w:type="gramStart"/>
      <w:r w:rsidR="00177A90" w:rsidRPr="004943B2">
        <w:rPr>
          <w:rFonts w:asciiTheme="minorHAnsi" w:hAnsiTheme="minorHAnsi"/>
        </w:rPr>
        <w:t>enter into</w:t>
      </w:r>
      <w:proofErr w:type="gramEnd"/>
      <w:r w:rsidR="00177A90" w:rsidRPr="004943B2">
        <w:rPr>
          <w:rFonts w:asciiTheme="minorHAnsi" w:hAnsiTheme="minorHAnsi"/>
        </w:rPr>
        <w:t xml:space="preserve"> a </w:t>
      </w:r>
      <w:proofErr w:type="gramStart"/>
      <w:r w:rsidR="00177A90" w:rsidRPr="004943B2">
        <w:rPr>
          <w:rFonts w:asciiTheme="minorHAnsi" w:hAnsiTheme="minorHAnsi"/>
        </w:rPr>
        <w:t>contact</w:t>
      </w:r>
      <w:r w:rsidR="00741ED3" w:rsidRPr="004943B2">
        <w:rPr>
          <w:rFonts w:asciiTheme="minorHAnsi" w:hAnsiTheme="minorHAnsi"/>
        </w:rPr>
        <w:t>,</w:t>
      </w:r>
      <w:proofErr w:type="gramEnd"/>
      <w:r w:rsidR="001A7076" w:rsidRPr="004943B2">
        <w:rPr>
          <w:rFonts w:asciiTheme="minorHAnsi" w:hAnsiTheme="minorHAnsi"/>
        </w:rPr>
        <w:t xml:space="preserve"> could </w:t>
      </w:r>
      <w:r w:rsidR="00251290" w:rsidRPr="004943B2">
        <w:rPr>
          <w:rFonts w:asciiTheme="minorHAnsi" w:hAnsiTheme="minorHAnsi"/>
        </w:rPr>
        <w:t>make</w:t>
      </w:r>
      <w:r w:rsidR="006033F6" w:rsidRPr="004943B2">
        <w:rPr>
          <w:rFonts w:asciiTheme="minorHAnsi" w:hAnsiTheme="minorHAnsi"/>
        </w:rPr>
        <w:t xml:space="preserve"> the contract unenforceable. </w:t>
      </w:r>
    </w:p>
    <w:p w14:paraId="74A92525" w14:textId="6AA89793" w:rsidR="000F0F0A" w:rsidRPr="004943B2" w:rsidRDefault="00B966D5" w:rsidP="1A3134AD">
      <w:pPr>
        <w:spacing w:after="40"/>
        <w:rPr>
          <w:rFonts w:asciiTheme="minorHAnsi" w:hAnsiTheme="minorHAnsi"/>
        </w:rPr>
      </w:pPr>
      <w:r w:rsidRPr="004943B2" w:rsidDel="00EA0AC9">
        <w:rPr>
          <w:rFonts w:asciiTheme="minorHAnsi" w:hAnsiTheme="minorHAnsi"/>
        </w:rPr>
        <w:t xml:space="preserve">For example, </w:t>
      </w:r>
      <w:r w:rsidR="001031AE" w:rsidRPr="004943B2">
        <w:rPr>
          <w:rFonts w:asciiTheme="minorHAnsi" w:hAnsiTheme="minorHAnsi"/>
        </w:rPr>
        <w:t>if</w:t>
      </w:r>
      <w:r w:rsidR="00B84943" w:rsidRPr="004943B2" w:rsidDel="00EA0AC9">
        <w:rPr>
          <w:rFonts w:asciiTheme="minorHAnsi" w:hAnsiTheme="minorHAnsi"/>
        </w:rPr>
        <w:t xml:space="preserve"> </w:t>
      </w:r>
      <w:r w:rsidR="00B84943" w:rsidRPr="004943B2">
        <w:rPr>
          <w:rFonts w:asciiTheme="minorHAnsi" w:hAnsiTheme="minorHAnsi"/>
        </w:rPr>
        <w:t xml:space="preserve">a person </w:t>
      </w:r>
      <w:r w:rsidR="001031AE" w:rsidRPr="004943B2">
        <w:rPr>
          <w:rFonts w:asciiTheme="minorHAnsi" w:hAnsiTheme="minorHAnsi"/>
        </w:rPr>
        <w:t xml:space="preserve">is </w:t>
      </w:r>
      <w:r w:rsidR="00B84943" w:rsidRPr="004943B2">
        <w:rPr>
          <w:rFonts w:asciiTheme="minorHAnsi" w:hAnsiTheme="minorHAnsi"/>
        </w:rPr>
        <w:t xml:space="preserve">signing under </w:t>
      </w:r>
      <w:proofErr w:type="gramStart"/>
      <w:r w:rsidR="00A57DBA" w:rsidRPr="004943B2">
        <w:rPr>
          <w:rFonts w:asciiTheme="minorHAnsi" w:hAnsiTheme="minorHAnsi"/>
        </w:rPr>
        <w:t>a</w:t>
      </w:r>
      <w:r w:rsidR="00B84943" w:rsidRPr="004943B2">
        <w:rPr>
          <w:rFonts w:asciiTheme="minorHAnsi" w:hAnsiTheme="minorHAnsi"/>
        </w:rPr>
        <w:t xml:space="preserve"> power</w:t>
      </w:r>
      <w:proofErr w:type="gramEnd"/>
      <w:r w:rsidR="00B84943" w:rsidRPr="004943B2">
        <w:rPr>
          <w:rFonts w:asciiTheme="minorHAnsi" w:hAnsiTheme="minorHAnsi"/>
        </w:rPr>
        <w:t xml:space="preserve"> of attorney, </w:t>
      </w:r>
      <w:r w:rsidR="007B70DC" w:rsidRPr="004943B2">
        <w:rPr>
          <w:rFonts w:asciiTheme="minorHAnsi" w:hAnsiTheme="minorHAnsi"/>
        </w:rPr>
        <w:t>practitioners should</w:t>
      </w:r>
      <w:r w:rsidR="00B84943" w:rsidRPr="004943B2">
        <w:rPr>
          <w:rFonts w:asciiTheme="minorHAnsi" w:hAnsiTheme="minorHAnsi"/>
        </w:rPr>
        <w:t xml:space="preserve"> r</w:t>
      </w:r>
      <w:r w:rsidR="007B70DC" w:rsidRPr="004943B2">
        <w:rPr>
          <w:rFonts w:asciiTheme="minorHAnsi" w:hAnsiTheme="minorHAnsi"/>
        </w:rPr>
        <w:t>eview</w:t>
      </w:r>
      <w:r w:rsidR="00B84943" w:rsidRPr="004943B2">
        <w:rPr>
          <w:rFonts w:asciiTheme="minorHAnsi" w:hAnsiTheme="minorHAnsi"/>
        </w:rPr>
        <w:t xml:space="preserve"> the power of attorney, and confirm the attorney is duly </w:t>
      </w:r>
      <w:proofErr w:type="spellStart"/>
      <w:r w:rsidR="00B84943" w:rsidRPr="004943B2">
        <w:rPr>
          <w:rFonts w:asciiTheme="minorHAnsi" w:hAnsiTheme="minorHAnsi"/>
        </w:rPr>
        <w:t>authorised</w:t>
      </w:r>
      <w:proofErr w:type="spellEnd"/>
      <w:r w:rsidR="00B84943" w:rsidRPr="004943B2">
        <w:rPr>
          <w:rFonts w:asciiTheme="minorHAnsi" w:hAnsiTheme="minorHAnsi"/>
        </w:rPr>
        <w:t xml:space="preserve"> to deal with the land. Where the vendor is a company, </w:t>
      </w:r>
      <w:r w:rsidR="00564A8A" w:rsidRPr="004943B2">
        <w:rPr>
          <w:rFonts w:asciiTheme="minorHAnsi" w:hAnsiTheme="minorHAnsi"/>
        </w:rPr>
        <w:t xml:space="preserve">practitioners should </w:t>
      </w:r>
      <w:r w:rsidR="00B84943" w:rsidRPr="004943B2">
        <w:rPr>
          <w:rFonts w:asciiTheme="minorHAnsi" w:hAnsiTheme="minorHAnsi"/>
        </w:rPr>
        <w:t>obtain a company search</w:t>
      </w:r>
      <w:r w:rsidR="00F77A33" w:rsidRPr="004943B2">
        <w:rPr>
          <w:rFonts w:asciiTheme="minorHAnsi" w:hAnsiTheme="minorHAnsi"/>
        </w:rPr>
        <w:t xml:space="preserve">, to establish who the officers of the </w:t>
      </w:r>
      <w:r w:rsidR="00B84943" w:rsidRPr="004943B2">
        <w:rPr>
          <w:rFonts w:asciiTheme="minorHAnsi" w:hAnsiTheme="minorHAnsi"/>
        </w:rPr>
        <w:t xml:space="preserve">company </w:t>
      </w:r>
      <w:r w:rsidR="00F77A33" w:rsidRPr="004943B2">
        <w:rPr>
          <w:rFonts w:asciiTheme="minorHAnsi" w:hAnsiTheme="minorHAnsi"/>
        </w:rPr>
        <w:t>are</w:t>
      </w:r>
      <w:r w:rsidR="002509B1" w:rsidRPr="004943B2">
        <w:rPr>
          <w:rFonts w:asciiTheme="minorHAnsi" w:hAnsiTheme="minorHAnsi"/>
        </w:rPr>
        <w:t xml:space="preserve"> and who is permitted to </w:t>
      </w:r>
      <w:r w:rsidR="00B84943" w:rsidRPr="004943B2">
        <w:rPr>
          <w:rFonts w:asciiTheme="minorHAnsi" w:hAnsiTheme="minorHAnsi"/>
        </w:rPr>
        <w:t>sign on behalf of the company</w:t>
      </w:r>
      <w:r w:rsidR="00A73CAA" w:rsidRPr="004943B2">
        <w:rPr>
          <w:rFonts w:asciiTheme="minorHAnsi" w:hAnsiTheme="minorHAnsi"/>
        </w:rPr>
        <w:t xml:space="preserve">. </w:t>
      </w:r>
    </w:p>
    <w:p w14:paraId="6E888F74" w14:textId="5646D46E" w:rsidR="00B84943" w:rsidRPr="004943B2" w:rsidRDefault="00B84943" w:rsidP="00B84943">
      <w:pPr>
        <w:spacing w:before="40" w:after="40"/>
        <w:rPr>
          <w:rFonts w:asciiTheme="minorHAnsi" w:hAnsiTheme="minorHAnsi"/>
        </w:rPr>
      </w:pPr>
      <w:r w:rsidRPr="004943B2">
        <w:rPr>
          <w:rFonts w:asciiTheme="minorHAnsi" w:hAnsiTheme="minorHAnsi"/>
          <w:i/>
          <w:sz w:val="17"/>
          <w:szCs w:val="17"/>
        </w:rPr>
        <w:t xml:space="preserve">Further information:  </w:t>
      </w:r>
      <w:hyperlink r:id="rId26">
        <w:r w:rsidRPr="00263CD2">
          <w:rPr>
            <w:rStyle w:val="Hyperlink"/>
            <w:szCs w:val="17"/>
          </w:rPr>
          <w:t xml:space="preserve">ARNECC requirements for verification of identity and client </w:t>
        </w:r>
        <w:proofErr w:type="spellStart"/>
        <w:r w:rsidRPr="00263CD2">
          <w:rPr>
            <w:rStyle w:val="Hyperlink"/>
            <w:szCs w:val="17"/>
          </w:rPr>
          <w:t>authorisation</w:t>
        </w:r>
        <w:proofErr w:type="spellEnd"/>
      </w:hyperlink>
      <w:r w:rsidRPr="00263CD2">
        <w:rPr>
          <w:rStyle w:val="Hyperlink"/>
          <w:szCs w:val="17"/>
        </w:rPr>
        <w:t xml:space="preserve">   </w:t>
      </w:r>
      <w:r w:rsidRPr="004943B2">
        <w:rPr>
          <w:rFonts w:asciiTheme="minorHAnsi" w:hAnsiTheme="minorHAnsi"/>
          <w:sz w:val="17"/>
          <w:szCs w:val="17"/>
        </w:rPr>
        <w:t xml:space="preserve">|   </w:t>
      </w:r>
      <w:hyperlink r:id="rId27">
        <w:r w:rsidRPr="00263CD2">
          <w:rPr>
            <w:rStyle w:val="Hyperlink"/>
            <w:szCs w:val="17"/>
          </w:rPr>
          <w:t>Land dealing certifications need to be taken seriously</w:t>
        </w:r>
      </w:hyperlink>
      <w:r w:rsidRPr="00263CD2">
        <w:rPr>
          <w:rStyle w:val="Hyperlink"/>
          <w:szCs w:val="17"/>
        </w:rPr>
        <w:t xml:space="preserve">   </w:t>
      </w:r>
      <w:r w:rsidRPr="004943B2">
        <w:rPr>
          <w:rFonts w:asciiTheme="minorHAnsi" w:hAnsiTheme="minorHAnsi"/>
          <w:sz w:val="17"/>
          <w:szCs w:val="17"/>
        </w:rPr>
        <w:t xml:space="preserve">|   </w:t>
      </w:r>
      <w:hyperlink r:id="rId28">
        <w:r w:rsidRPr="00263CD2">
          <w:rPr>
            <w:rStyle w:val="Hyperlink"/>
            <w:szCs w:val="17"/>
          </w:rPr>
          <w:t>ARNECC Model Participation Rules</w:t>
        </w:r>
      </w:hyperlink>
    </w:p>
    <w:p w14:paraId="07F443BD"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szCs w:val="21"/>
        </w:rPr>
        <w:t>E8  Goods and fixtures</w:t>
      </w:r>
    </w:p>
    <w:p w14:paraId="40D76108" w14:textId="31B6F74C" w:rsidR="00B84943" w:rsidRPr="004943B2" w:rsidRDefault="00B84943" w:rsidP="00C303CE">
      <w:pPr>
        <w:spacing w:before="40" w:after="40"/>
        <w:rPr>
          <w:rFonts w:asciiTheme="minorHAnsi" w:hAnsiTheme="minorHAnsi"/>
        </w:rPr>
      </w:pPr>
      <w:r w:rsidRPr="004943B2">
        <w:rPr>
          <w:rFonts w:asciiTheme="minorHAnsi" w:hAnsiTheme="minorHAnsi"/>
        </w:rPr>
        <w:t>Disputes about what goods are sold with the land and what goods will be retained by the vendor are common</w:t>
      </w:r>
      <w:r w:rsidR="009D16FC" w:rsidRPr="004943B2">
        <w:rPr>
          <w:rFonts w:asciiTheme="minorHAnsi" w:hAnsiTheme="minorHAnsi"/>
        </w:rPr>
        <w:t>.</w:t>
      </w:r>
      <w:r w:rsidRPr="004943B2">
        <w:rPr>
          <w:rFonts w:asciiTheme="minorHAnsi" w:hAnsiTheme="minorHAnsi"/>
        </w:rPr>
        <w:t xml:space="preserve"> Where the list of goods sold with the land is substantial or valuable, attach a schedule rather than compressing it into the particulars of sale of the contract. Similarly, where the vendor intends to remove a fixture and retain it, ensure that the contract contains a special condition dealing with the removal of the fixture.</w:t>
      </w:r>
    </w:p>
    <w:p w14:paraId="511A06AB" w14:textId="195E7F32" w:rsidR="00B84943" w:rsidRPr="004943B2" w:rsidRDefault="00B84943" w:rsidP="00C303CE">
      <w:pPr>
        <w:spacing w:before="180" w:after="40"/>
        <w:rPr>
          <w:rFonts w:asciiTheme="minorHAnsi" w:hAnsiTheme="minorHAnsi"/>
        </w:rPr>
      </w:pPr>
      <w:r w:rsidRPr="004943B2">
        <w:rPr>
          <w:rFonts w:asciiTheme="minorHAnsi" w:hAnsiTheme="minorHAnsi"/>
          <w:b/>
          <w:color w:val="1F3364"/>
          <w:sz w:val="21"/>
          <w:szCs w:val="21"/>
        </w:rPr>
        <w:t>E9  GST, the threshold questions</w:t>
      </w:r>
    </w:p>
    <w:p w14:paraId="5B1DBEFF" w14:textId="54EC6C60" w:rsidR="00163579" w:rsidRPr="004943B2" w:rsidRDefault="00E7590A" w:rsidP="1A3134AD">
      <w:pPr>
        <w:spacing w:after="40"/>
        <w:rPr>
          <w:rFonts w:asciiTheme="minorHAnsi" w:hAnsiTheme="minorHAnsi"/>
        </w:rPr>
      </w:pPr>
      <w:r w:rsidRPr="004943B2">
        <w:rPr>
          <w:rFonts w:asciiTheme="minorHAnsi" w:hAnsiTheme="minorHAnsi"/>
        </w:rPr>
        <w:t xml:space="preserve">To assess whether GST applies to the sale of the property, practitioners need to consider </w:t>
      </w:r>
      <w:r w:rsidR="25E0FE17" w:rsidRPr="004943B2">
        <w:rPr>
          <w:rFonts w:asciiTheme="minorHAnsi" w:hAnsiTheme="minorHAnsi"/>
        </w:rPr>
        <w:t xml:space="preserve">whether </w:t>
      </w:r>
      <w:r w:rsidRPr="004943B2">
        <w:rPr>
          <w:rFonts w:asciiTheme="minorHAnsi" w:hAnsiTheme="minorHAnsi"/>
        </w:rPr>
        <w:t>two threshold questions</w:t>
      </w:r>
      <w:r w:rsidR="00163579" w:rsidRPr="004943B2">
        <w:rPr>
          <w:rFonts w:asciiTheme="minorHAnsi" w:hAnsiTheme="minorHAnsi"/>
        </w:rPr>
        <w:t xml:space="preserve"> apply</w:t>
      </w:r>
      <w:r w:rsidRPr="004943B2">
        <w:rPr>
          <w:rFonts w:asciiTheme="minorHAnsi" w:hAnsiTheme="minorHAnsi"/>
        </w:rPr>
        <w:t xml:space="preserve">: </w:t>
      </w:r>
    </w:p>
    <w:p w14:paraId="6F7A9514" w14:textId="08A23B4C" w:rsidR="00163579" w:rsidRPr="004943B2" w:rsidRDefault="00E7590A" w:rsidP="00163579">
      <w:pPr>
        <w:pStyle w:val="ListParagraph"/>
        <w:numPr>
          <w:ilvl w:val="0"/>
          <w:numId w:val="19"/>
        </w:numPr>
        <w:spacing w:after="40"/>
        <w:rPr>
          <w:rFonts w:asciiTheme="minorHAnsi" w:hAnsiTheme="minorHAnsi"/>
        </w:rPr>
      </w:pPr>
      <w:r w:rsidRPr="004943B2">
        <w:rPr>
          <w:rFonts w:asciiTheme="minorHAnsi" w:hAnsiTheme="minorHAnsi"/>
        </w:rPr>
        <w:t>is the vendor registered or required to be registered</w:t>
      </w:r>
      <w:r w:rsidR="00AA605E">
        <w:rPr>
          <w:rFonts w:asciiTheme="minorHAnsi" w:hAnsiTheme="minorHAnsi"/>
        </w:rPr>
        <w:t xml:space="preserve"> for</w:t>
      </w:r>
      <w:r w:rsidR="00DF114A">
        <w:rPr>
          <w:rFonts w:asciiTheme="minorHAnsi" w:hAnsiTheme="minorHAnsi"/>
        </w:rPr>
        <w:t xml:space="preserve"> GST</w:t>
      </w:r>
      <w:r w:rsidRPr="004943B2">
        <w:rPr>
          <w:rFonts w:asciiTheme="minorHAnsi" w:hAnsiTheme="minorHAnsi"/>
        </w:rPr>
        <w:t xml:space="preserve">, and </w:t>
      </w:r>
    </w:p>
    <w:p w14:paraId="171976BC" w14:textId="77777777" w:rsidR="00163579" w:rsidRPr="004943B2" w:rsidRDefault="00E7590A" w:rsidP="00163579">
      <w:pPr>
        <w:pStyle w:val="ListParagraph"/>
        <w:numPr>
          <w:ilvl w:val="0"/>
          <w:numId w:val="19"/>
        </w:numPr>
        <w:spacing w:after="40"/>
        <w:rPr>
          <w:rFonts w:asciiTheme="minorHAnsi" w:hAnsiTheme="minorHAnsi"/>
        </w:rPr>
      </w:pPr>
      <w:r w:rsidRPr="004943B2">
        <w:rPr>
          <w:rFonts w:asciiTheme="minorHAnsi" w:hAnsiTheme="minorHAnsi"/>
        </w:rPr>
        <w:t xml:space="preserve">is the sale in the course or furtherance of an enterprise? </w:t>
      </w:r>
    </w:p>
    <w:p w14:paraId="5C745063" w14:textId="3108CC86" w:rsidR="0093214C" w:rsidRDefault="00E7590A" w:rsidP="00B84943">
      <w:pPr>
        <w:spacing w:after="40"/>
        <w:rPr>
          <w:rFonts w:asciiTheme="minorHAnsi" w:hAnsiTheme="minorHAnsi"/>
        </w:rPr>
      </w:pPr>
      <w:r w:rsidRPr="004943B2">
        <w:rPr>
          <w:rFonts w:asciiTheme="minorHAnsi" w:hAnsiTheme="minorHAnsi"/>
        </w:rPr>
        <w:t>Where the answer to both questions is yes, then GST will apply to the sale, and the contract must clearly deal with the GST treatment</w:t>
      </w:r>
      <w:r w:rsidR="0093214C">
        <w:rPr>
          <w:rFonts w:asciiTheme="minorHAnsi" w:hAnsiTheme="minorHAnsi"/>
        </w:rPr>
        <w:t>. For example, where the vendor requires the purchaser to pay GST in addition to the contract price, the ‘plus GST’ box is checked in the particulars of sale o</w:t>
      </w:r>
      <w:r w:rsidR="00A50BD6">
        <w:rPr>
          <w:rFonts w:asciiTheme="minorHAnsi" w:hAnsiTheme="minorHAnsi"/>
        </w:rPr>
        <w:t>f</w:t>
      </w:r>
      <w:r w:rsidR="0093214C">
        <w:rPr>
          <w:rFonts w:asciiTheme="minorHAnsi" w:hAnsiTheme="minorHAnsi"/>
        </w:rPr>
        <w:t xml:space="preserve"> the contract. </w:t>
      </w:r>
    </w:p>
    <w:p w14:paraId="6E7EAFD3" w14:textId="7F4D8856" w:rsidR="00B84943" w:rsidRPr="004943B2" w:rsidRDefault="009859F1" w:rsidP="00B84943">
      <w:pPr>
        <w:spacing w:after="40"/>
        <w:rPr>
          <w:rFonts w:asciiTheme="minorHAnsi" w:hAnsiTheme="minorHAnsi"/>
        </w:rPr>
      </w:pPr>
      <w:r w:rsidRPr="004943B2">
        <w:rPr>
          <w:rFonts w:asciiTheme="minorHAnsi" w:hAnsiTheme="minorHAnsi"/>
        </w:rPr>
        <w:t xml:space="preserve">In </w:t>
      </w:r>
      <w:r w:rsidR="00DF7FB2" w:rsidRPr="004943B2">
        <w:rPr>
          <w:rFonts w:asciiTheme="minorHAnsi" w:hAnsiTheme="minorHAnsi"/>
        </w:rPr>
        <w:t xml:space="preserve">some circumstances additional special conditions may be required. </w:t>
      </w:r>
      <w:r w:rsidR="00E7590A" w:rsidRPr="004943B2">
        <w:rPr>
          <w:rFonts w:asciiTheme="minorHAnsi" w:hAnsiTheme="minorHAnsi"/>
        </w:rPr>
        <w:t xml:space="preserve">For example, </w:t>
      </w:r>
      <w:r w:rsidR="00DF7FB2" w:rsidRPr="004943B2">
        <w:rPr>
          <w:rFonts w:asciiTheme="minorHAnsi" w:hAnsiTheme="minorHAnsi"/>
        </w:rPr>
        <w:t>i</w:t>
      </w:r>
      <w:r w:rsidR="004B2AF7" w:rsidRPr="004943B2">
        <w:rPr>
          <w:rFonts w:asciiTheme="minorHAnsi" w:hAnsiTheme="minorHAnsi"/>
        </w:rPr>
        <w:t xml:space="preserve">f there is a GST mixed supply, such as the sale of a building that contains a retail shop and a dwelling, a special condition will need to be inserted into the contract to deal with the </w:t>
      </w:r>
      <w:r w:rsidR="00E861E2" w:rsidRPr="004943B2">
        <w:rPr>
          <w:rFonts w:asciiTheme="minorHAnsi" w:hAnsiTheme="minorHAnsi"/>
        </w:rPr>
        <w:t xml:space="preserve">GST </w:t>
      </w:r>
      <w:r w:rsidR="004B2AF7" w:rsidRPr="004943B2">
        <w:rPr>
          <w:rFonts w:asciiTheme="minorHAnsi" w:hAnsiTheme="minorHAnsi"/>
        </w:rPr>
        <w:t>mixed supply issue.</w:t>
      </w:r>
    </w:p>
    <w:p w14:paraId="43F06415" w14:textId="76F4273E" w:rsidR="00581DCE" w:rsidRPr="00581DCE" w:rsidRDefault="00B84943" w:rsidP="00581DCE">
      <w:pPr>
        <w:spacing w:before="40" w:after="40"/>
      </w:pPr>
      <w:r w:rsidRPr="004943B2">
        <w:rPr>
          <w:rFonts w:asciiTheme="minorHAnsi" w:hAnsiTheme="minorHAnsi"/>
          <w:i/>
          <w:sz w:val="17"/>
          <w:szCs w:val="17"/>
        </w:rPr>
        <w:t xml:space="preserve">Further information: </w:t>
      </w:r>
      <w:r w:rsidRPr="00263CD2">
        <w:rPr>
          <w:rStyle w:val="Hyperlink"/>
          <w:szCs w:val="17"/>
        </w:rPr>
        <w:t xml:space="preserve"> </w:t>
      </w:r>
      <w:hyperlink r:id="rId29">
        <w:r w:rsidRPr="00263CD2">
          <w:rPr>
            <w:rStyle w:val="Hyperlink"/>
            <w:szCs w:val="17"/>
          </w:rPr>
          <w:t>LPLC GST checklist</w:t>
        </w:r>
      </w:hyperlink>
      <w:r w:rsidRPr="004943B2">
        <w:rPr>
          <w:rFonts w:asciiTheme="minorHAnsi" w:hAnsiTheme="minorHAnsi"/>
        </w:rPr>
        <w:t xml:space="preserve">   </w:t>
      </w:r>
      <w:r w:rsidRPr="004943B2">
        <w:rPr>
          <w:rFonts w:asciiTheme="minorHAnsi" w:hAnsiTheme="minorHAnsi"/>
          <w:sz w:val="17"/>
          <w:szCs w:val="17"/>
        </w:rPr>
        <w:t xml:space="preserve">|   </w:t>
      </w:r>
      <w:hyperlink r:id="rId30" w:history="1">
        <w:r w:rsidRPr="00263CD2">
          <w:rPr>
            <w:rStyle w:val="Hyperlink"/>
            <w:szCs w:val="17"/>
            <w:lang w:val="en-AU"/>
          </w:rPr>
          <w:t>Goods and Services Tax</w:t>
        </w:r>
      </w:hyperlink>
    </w:p>
    <w:p w14:paraId="72B2799D" w14:textId="2A2FD236" w:rsidR="00B84943" w:rsidRPr="004943B2" w:rsidRDefault="00B84943" w:rsidP="00C303CE">
      <w:pPr>
        <w:spacing w:before="180" w:after="40"/>
        <w:rPr>
          <w:rFonts w:asciiTheme="minorHAnsi" w:hAnsiTheme="minorHAnsi"/>
        </w:rPr>
      </w:pPr>
      <w:r w:rsidRPr="004943B2">
        <w:rPr>
          <w:rFonts w:asciiTheme="minorHAnsi" w:hAnsiTheme="minorHAnsi"/>
          <w:b/>
          <w:color w:val="1F3364"/>
          <w:sz w:val="21"/>
          <w:szCs w:val="21"/>
        </w:rPr>
        <w:t>E10  The margin scheme</w:t>
      </w:r>
    </w:p>
    <w:p w14:paraId="188BCC5D" w14:textId="5752CCA3" w:rsidR="008254F7" w:rsidRPr="004943B2" w:rsidRDefault="00D75EF2" w:rsidP="1A3134AD">
      <w:pPr>
        <w:spacing w:after="40"/>
        <w:rPr>
          <w:rFonts w:asciiTheme="minorHAnsi" w:hAnsiTheme="minorHAnsi"/>
        </w:rPr>
      </w:pPr>
      <w:r w:rsidRPr="004943B2">
        <w:rPr>
          <w:rFonts w:asciiTheme="minorHAnsi" w:hAnsiTheme="minorHAnsi"/>
        </w:rPr>
        <w:t>If a vendor intends to apply the margin scheme to the contra</w:t>
      </w:r>
      <w:r w:rsidR="001C30CF" w:rsidRPr="004943B2">
        <w:rPr>
          <w:rFonts w:asciiTheme="minorHAnsi" w:hAnsiTheme="minorHAnsi"/>
        </w:rPr>
        <w:t xml:space="preserve">ct, it can only be used in certain circumstances. Consequently, vendor clients should confirm in writing that they have obtained advice from their </w:t>
      </w:r>
      <w:proofErr w:type="gramStart"/>
      <w:r w:rsidR="001C30CF" w:rsidRPr="004943B2">
        <w:rPr>
          <w:rFonts w:asciiTheme="minorHAnsi" w:hAnsiTheme="minorHAnsi"/>
        </w:rPr>
        <w:t>accountant</w:t>
      </w:r>
      <w:proofErr w:type="gramEnd"/>
      <w:r w:rsidR="001C30CF" w:rsidRPr="004943B2">
        <w:rPr>
          <w:rFonts w:asciiTheme="minorHAnsi" w:hAnsiTheme="minorHAnsi"/>
        </w:rPr>
        <w:t xml:space="preserve"> that margin scheme can be applied and on what basis</w:t>
      </w:r>
      <w:r w:rsidR="00DE53FA" w:rsidRPr="004943B2">
        <w:rPr>
          <w:rFonts w:asciiTheme="minorHAnsi" w:hAnsiTheme="minorHAnsi"/>
        </w:rPr>
        <w:t xml:space="preserve">, </w:t>
      </w:r>
      <w:proofErr w:type="gramStart"/>
      <w:r w:rsidR="00DE53FA" w:rsidRPr="004943B2">
        <w:rPr>
          <w:rFonts w:asciiTheme="minorHAnsi" w:hAnsiTheme="minorHAnsi"/>
        </w:rPr>
        <w:t>either</w:t>
      </w:r>
      <w:r w:rsidR="000D2F87" w:rsidRPr="004943B2">
        <w:rPr>
          <w:rFonts w:asciiTheme="minorHAnsi" w:hAnsiTheme="minorHAnsi"/>
        </w:rPr>
        <w:t>,</w:t>
      </w:r>
      <w:proofErr w:type="gramEnd"/>
      <w:r w:rsidR="001C30CF" w:rsidRPr="004943B2">
        <w:rPr>
          <w:rFonts w:asciiTheme="minorHAnsi" w:hAnsiTheme="minorHAnsi"/>
        </w:rPr>
        <w:t xml:space="preserve"> GST inclusive </w:t>
      </w:r>
      <w:r w:rsidR="005236F5" w:rsidRPr="004943B2">
        <w:rPr>
          <w:rFonts w:asciiTheme="minorHAnsi" w:hAnsiTheme="minorHAnsi"/>
        </w:rPr>
        <w:t xml:space="preserve">and the margin scheme </w:t>
      </w:r>
      <w:r w:rsidR="001C30CF" w:rsidRPr="004943B2">
        <w:rPr>
          <w:rFonts w:asciiTheme="minorHAnsi" w:hAnsiTheme="minorHAnsi"/>
        </w:rPr>
        <w:t xml:space="preserve">or </w:t>
      </w:r>
      <w:r w:rsidR="005236F5" w:rsidRPr="004943B2">
        <w:rPr>
          <w:rFonts w:asciiTheme="minorHAnsi" w:hAnsiTheme="minorHAnsi"/>
        </w:rPr>
        <w:t>plus GST and the margin scheme.</w:t>
      </w:r>
    </w:p>
    <w:p w14:paraId="2BEEF5AA" w14:textId="56E09542" w:rsidR="004E781E" w:rsidRPr="004943B2" w:rsidRDefault="00D70CE4" w:rsidP="1A3134AD">
      <w:pPr>
        <w:spacing w:after="40"/>
        <w:rPr>
          <w:rFonts w:asciiTheme="minorHAnsi" w:hAnsiTheme="minorHAnsi"/>
        </w:rPr>
      </w:pPr>
      <w:r w:rsidRPr="004943B2">
        <w:rPr>
          <w:rFonts w:asciiTheme="minorHAnsi" w:hAnsiTheme="minorHAnsi"/>
        </w:rPr>
        <w:t>However,</w:t>
      </w:r>
      <w:r w:rsidR="00AE68CF" w:rsidRPr="004943B2">
        <w:rPr>
          <w:rFonts w:asciiTheme="minorHAnsi" w:hAnsiTheme="minorHAnsi"/>
        </w:rPr>
        <w:t xml:space="preserve"> a</w:t>
      </w:r>
      <w:r w:rsidR="0006086A" w:rsidRPr="004943B2">
        <w:rPr>
          <w:rFonts w:asciiTheme="minorHAnsi" w:hAnsiTheme="minorHAnsi"/>
        </w:rPr>
        <w:t xml:space="preserve"> margin scheme and a plus GST treatment </w:t>
      </w:r>
      <w:r w:rsidR="00DE53FA" w:rsidRPr="004943B2">
        <w:rPr>
          <w:rFonts w:asciiTheme="minorHAnsi" w:hAnsiTheme="minorHAnsi"/>
        </w:rPr>
        <w:t>for a contract</w:t>
      </w:r>
      <w:r w:rsidR="0006086A" w:rsidRPr="004943B2">
        <w:rPr>
          <w:rFonts w:asciiTheme="minorHAnsi" w:hAnsiTheme="minorHAnsi"/>
        </w:rPr>
        <w:t xml:space="preserve"> </w:t>
      </w:r>
      <w:proofErr w:type="gramStart"/>
      <w:r w:rsidR="0006086A" w:rsidRPr="004943B2">
        <w:rPr>
          <w:rFonts w:asciiTheme="minorHAnsi" w:hAnsiTheme="minorHAnsi"/>
        </w:rPr>
        <w:t>is</w:t>
      </w:r>
      <w:proofErr w:type="gramEnd"/>
      <w:r w:rsidR="0006086A" w:rsidRPr="004943B2">
        <w:rPr>
          <w:rFonts w:asciiTheme="minorHAnsi" w:hAnsiTheme="minorHAnsi"/>
        </w:rPr>
        <w:t xml:space="preserve"> a complex area of tax </w:t>
      </w:r>
      <w:proofErr w:type="gramStart"/>
      <w:r w:rsidR="0006086A" w:rsidRPr="004943B2">
        <w:rPr>
          <w:rFonts w:asciiTheme="minorHAnsi" w:hAnsiTheme="minorHAnsi"/>
        </w:rPr>
        <w:t>law, and</w:t>
      </w:r>
      <w:proofErr w:type="gramEnd"/>
      <w:r w:rsidR="0006086A" w:rsidRPr="004943B2">
        <w:rPr>
          <w:rFonts w:asciiTheme="minorHAnsi" w:hAnsiTheme="minorHAnsi"/>
        </w:rPr>
        <w:t xml:space="preserve"> will also require a special condition in the contract dealing with the issue</w:t>
      </w:r>
      <w:r w:rsidR="00D353C1" w:rsidRPr="004943B2">
        <w:rPr>
          <w:rFonts w:asciiTheme="minorHAnsi" w:hAnsiTheme="minorHAnsi"/>
        </w:rPr>
        <w:t>.</w:t>
      </w:r>
    </w:p>
    <w:p w14:paraId="294ADD34" w14:textId="65E1CD6E" w:rsidR="004B2E71" w:rsidRPr="004943B2" w:rsidRDefault="002124F6" w:rsidP="1A3134AD">
      <w:pPr>
        <w:spacing w:after="40"/>
        <w:rPr>
          <w:rFonts w:asciiTheme="minorHAnsi" w:hAnsiTheme="minorHAnsi"/>
        </w:rPr>
      </w:pPr>
      <w:r w:rsidRPr="004943B2">
        <w:rPr>
          <w:rFonts w:asciiTheme="minorHAnsi" w:hAnsiTheme="minorHAnsi"/>
        </w:rPr>
        <w:t xml:space="preserve">If the margin scheme is to be applied to the sale, ensure that the ‘margin </w:t>
      </w:r>
      <w:proofErr w:type="gramStart"/>
      <w:r w:rsidRPr="004943B2">
        <w:rPr>
          <w:rFonts w:asciiTheme="minorHAnsi" w:hAnsiTheme="minorHAnsi"/>
        </w:rPr>
        <w:t>scheme’</w:t>
      </w:r>
      <w:proofErr w:type="gramEnd"/>
      <w:r w:rsidRPr="004943B2">
        <w:rPr>
          <w:rFonts w:asciiTheme="minorHAnsi" w:hAnsiTheme="minorHAnsi"/>
        </w:rPr>
        <w:t xml:space="preserve"> box is checked in the particulars of sale of the contract.</w:t>
      </w:r>
    </w:p>
    <w:p w14:paraId="7B4E2851" w14:textId="1E1872CE" w:rsidR="00B84943" w:rsidRPr="004943B2" w:rsidRDefault="00B84943" w:rsidP="00B84943">
      <w:pPr>
        <w:spacing w:before="40" w:after="40"/>
        <w:rPr>
          <w:rFonts w:asciiTheme="minorHAnsi" w:hAnsiTheme="minorHAnsi"/>
        </w:rPr>
      </w:pPr>
      <w:r w:rsidRPr="004943B2">
        <w:rPr>
          <w:rFonts w:asciiTheme="minorHAnsi" w:hAnsiTheme="minorHAnsi"/>
          <w:i/>
          <w:sz w:val="17"/>
          <w:szCs w:val="17"/>
        </w:rPr>
        <w:t>Further information</w:t>
      </w:r>
      <w:r w:rsidRPr="00263CD2">
        <w:rPr>
          <w:rStyle w:val="Hyperlink"/>
          <w:szCs w:val="17"/>
        </w:rPr>
        <w:t xml:space="preserve">:  </w:t>
      </w:r>
      <w:hyperlink r:id="rId31">
        <w:r w:rsidRPr="00263CD2">
          <w:rPr>
            <w:rStyle w:val="Hyperlink"/>
            <w:szCs w:val="17"/>
          </w:rPr>
          <w:t>LPLC margin scheme FAQ</w:t>
        </w:r>
      </w:hyperlink>
      <w:r w:rsidRPr="004943B2">
        <w:rPr>
          <w:rFonts w:asciiTheme="minorHAnsi" w:hAnsiTheme="minorHAnsi"/>
          <w:sz w:val="17"/>
          <w:szCs w:val="17"/>
        </w:rPr>
        <w:t xml:space="preserve">   </w:t>
      </w:r>
      <w:r w:rsidRPr="00263CD2">
        <w:rPr>
          <w:rStyle w:val="Hyperlink"/>
          <w:szCs w:val="17"/>
        </w:rPr>
        <w:t xml:space="preserve">|   </w:t>
      </w:r>
      <w:hyperlink r:id="rId32">
        <w:r w:rsidRPr="00263CD2">
          <w:rPr>
            <w:rStyle w:val="Hyperlink"/>
            <w:szCs w:val="17"/>
          </w:rPr>
          <w:t>Why you should not sell ‘plus GST’ in margin scheme supplies</w:t>
        </w:r>
      </w:hyperlink>
      <w:r w:rsidR="000B1E75" w:rsidRPr="004943B2">
        <w:rPr>
          <w:rFonts w:asciiTheme="minorHAnsi" w:hAnsiTheme="minorHAnsi"/>
        </w:rPr>
        <w:t xml:space="preserve">   </w:t>
      </w:r>
      <w:r w:rsidR="000B1E75" w:rsidRPr="00263CD2">
        <w:rPr>
          <w:rStyle w:val="Hyperlink"/>
          <w:szCs w:val="17"/>
        </w:rPr>
        <w:t xml:space="preserve">|   </w:t>
      </w:r>
      <w:hyperlink r:id="rId33">
        <w:r w:rsidR="000B1E75" w:rsidRPr="00263CD2">
          <w:rPr>
            <w:rStyle w:val="Hyperlink"/>
            <w:szCs w:val="17"/>
          </w:rPr>
          <w:t>LPLC GST checklist</w:t>
        </w:r>
      </w:hyperlink>
    </w:p>
    <w:p w14:paraId="006D9CDF" w14:textId="4AD22635"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lastRenderedPageBreak/>
        <w:t>E11  Going concern and farming business exemptions</w:t>
      </w:r>
      <w:r w:rsidR="008C59B8">
        <w:rPr>
          <w:rFonts w:asciiTheme="minorHAnsi" w:hAnsiTheme="minorHAnsi"/>
          <w:b/>
          <w:color w:val="1F3364"/>
          <w:sz w:val="21"/>
        </w:rPr>
        <w:t xml:space="preserve"> to GST</w:t>
      </w:r>
    </w:p>
    <w:p w14:paraId="3E328601" w14:textId="27F14522" w:rsidR="00057FD7" w:rsidRPr="004943B2" w:rsidRDefault="00B84943" w:rsidP="00B81B87">
      <w:pPr>
        <w:spacing w:after="40"/>
        <w:rPr>
          <w:rFonts w:asciiTheme="minorHAnsi" w:hAnsiTheme="minorHAnsi"/>
        </w:rPr>
      </w:pPr>
      <w:r w:rsidRPr="004943B2">
        <w:rPr>
          <w:rFonts w:asciiTheme="minorHAnsi" w:hAnsiTheme="minorHAnsi"/>
        </w:rPr>
        <w:t xml:space="preserve">Both exemptions depend on certain requirements being satisfied, and some of those requirements </w:t>
      </w:r>
      <w:r w:rsidR="0063208E" w:rsidRPr="004943B2">
        <w:rPr>
          <w:rFonts w:asciiTheme="minorHAnsi" w:hAnsiTheme="minorHAnsi"/>
        </w:rPr>
        <w:t>apply</w:t>
      </w:r>
      <w:r w:rsidRPr="004943B2">
        <w:rPr>
          <w:rFonts w:asciiTheme="minorHAnsi" w:hAnsiTheme="minorHAnsi"/>
        </w:rPr>
        <w:t xml:space="preserve"> </w:t>
      </w:r>
      <w:r w:rsidR="0063208E" w:rsidRPr="004943B2">
        <w:rPr>
          <w:rFonts w:asciiTheme="minorHAnsi" w:hAnsiTheme="minorHAnsi"/>
        </w:rPr>
        <w:t>to</w:t>
      </w:r>
      <w:r w:rsidRPr="004943B2">
        <w:rPr>
          <w:rFonts w:asciiTheme="minorHAnsi" w:hAnsiTheme="minorHAnsi"/>
        </w:rPr>
        <w:t xml:space="preserve"> the purchaser. </w:t>
      </w:r>
    </w:p>
    <w:p w14:paraId="2894F607" w14:textId="7863A119" w:rsidR="005E6F25" w:rsidRPr="004943B2" w:rsidRDefault="00B84943" w:rsidP="1A3134AD">
      <w:pPr>
        <w:spacing w:after="40"/>
        <w:rPr>
          <w:rFonts w:asciiTheme="minorHAnsi" w:hAnsiTheme="minorHAnsi"/>
        </w:rPr>
      </w:pPr>
      <w:r w:rsidRPr="004943B2">
        <w:rPr>
          <w:rFonts w:asciiTheme="minorHAnsi" w:hAnsiTheme="minorHAnsi"/>
        </w:rPr>
        <w:t>Where the requirements for a GST exemption are not met (or fail), the vendor may be left liable for GST. Whilst GC 19 of the LIV Contract contains a GST claw back provision that applies if a GST exemption fails, any claw back provision is only as good as the ability to recover the GST from the purchaser at a later point.</w:t>
      </w:r>
    </w:p>
    <w:p w14:paraId="0827CACA" w14:textId="1659CDEE" w:rsidR="00B84943" w:rsidRPr="004943B2" w:rsidRDefault="00A2666E" w:rsidP="00B84943">
      <w:pPr>
        <w:spacing w:after="40"/>
        <w:rPr>
          <w:rFonts w:asciiTheme="minorHAnsi" w:hAnsiTheme="minorHAnsi"/>
        </w:rPr>
      </w:pPr>
      <w:r w:rsidRPr="004943B2">
        <w:rPr>
          <w:rFonts w:asciiTheme="minorHAnsi" w:hAnsiTheme="minorHAnsi"/>
        </w:rPr>
        <w:t>Consequently, if a GST exemption is to be applied</w:t>
      </w:r>
      <w:r w:rsidR="00C128A4" w:rsidRPr="004943B2">
        <w:rPr>
          <w:rFonts w:asciiTheme="minorHAnsi" w:hAnsiTheme="minorHAnsi"/>
        </w:rPr>
        <w:t xml:space="preserve"> to the contract</w:t>
      </w:r>
      <w:r w:rsidRPr="004943B2">
        <w:rPr>
          <w:rFonts w:asciiTheme="minorHAnsi" w:hAnsiTheme="minorHAnsi"/>
        </w:rPr>
        <w:t>, it is important that the eligibility for the exemption is determined before contract signing. If a GST exemption cannot apply to the transaction, a vendor may wish to apply a different GST treatment, such as making the contract plus GST.</w:t>
      </w:r>
    </w:p>
    <w:p w14:paraId="7F1B69F1" w14:textId="668E833C" w:rsidR="00190D3A" w:rsidRPr="004943B2" w:rsidRDefault="00190D3A" w:rsidP="00B84943">
      <w:pPr>
        <w:spacing w:after="40"/>
        <w:rPr>
          <w:rFonts w:asciiTheme="minorHAnsi" w:hAnsiTheme="minorHAnsi"/>
        </w:rPr>
      </w:pPr>
      <w:r w:rsidRPr="004943B2">
        <w:rPr>
          <w:rFonts w:asciiTheme="minorHAnsi" w:hAnsiTheme="minorHAnsi"/>
        </w:rPr>
        <w:t xml:space="preserve">Where either the going </w:t>
      </w:r>
      <w:proofErr w:type="gramStart"/>
      <w:r w:rsidRPr="004943B2">
        <w:rPr>
          <w:rFonts w:asciiTheme="minorHAnsi" w:hAnsiTheme="minorHAnsi"/>
        </w:rPr>
        <w:t>concern</w:t>
      </w:r>
      <w:proofErr w:type="gramEnd"/>
      <w:r w:rsidRPr="004943B2">
        <w:rPr>
          <w:rFonts w:asciiTheme="minorHAnsi" w:hAnsiTheme="minorHAnsi"/>
        </w:rPr>
        <w:t xml:space="preserve"> exemption o</w:t>
      </w:r>
      <w:r w:rsidR="00B91959" w:rsidRPr="004943B2">
        <w:rPr>
          <w:rFonts w:asciiTheme="minorHAnsi" w:hAnsiTheme="minorHAnsi"/>
        </w:rPr>
        <w:t>r</w:t>
      </w:r>
      <w:r w:rsidRPr="004943B2">
        <w:rPr>
          <w:rFonts w:asciiTheme="minorHAnsi" w:hAnsiTheme="minorHAnsi"/>
        </w:rPr>
        <w:t xml:space="preserve"> the farming business exemption applies, practitioners must ensure that the correct box is checked in the particulars of sale of the contract. </w:t>
      </w:r>
    </w:p>
    <w:p w14:paraId="5AED8515" w14:textId="7D8DD6CE" w:rsidR="00B84943" w:rsidRPr="004943B2" w:rsidRDefault="00B84943" w:rsidP="00B84943">
      <w:pPr>
        <w:spacing w:before="40" w:after="40"/>
        <w:rPr>
          <w:rFonts w:asciiTheme="minorHAnsi" w:hAnsiTheme="minorHAnsi"/>
        </w:rPr>
      </w:pPr>
      <w:r w:rsidRPr="004943B2">
        <w:rPr>
          <w:rFonts w:asciiTheme="minorHAnsi" w:hAnsiTheme="minorHAnsi"/>
          <w:i/>
          <w:sz w:val="17"/>
          <w:szCs w:val="17"/>
        </w:rPr>
        <w:t>Further information</w:t>
      </w:r>
      <w:r w:rsidRPr="00263CD2">
        <w:rPr>
          <w:rStyle w:val="Hyperlink"/>
          <w:szCs w:val="17"/>
        </w:rPr>
        <w:t xml:space="preserve">:  </w:t>
      </w:r>
      <w:hyperlink r:id="rId34">
        <w:r w:rsidRPr="00263CD2">
          <w:rPr>
            <w:rStyle w:val="Hyperlink"/>
            <w:szCs w:val="17"/>
          </w:rPr>
          <w:t>GST-free: sale of a going concern</w:t>
        </w:r>
      </w:hyperlink>
      <w:r w:rsidRPr="004943B2">
        <w:rPr>
          <w:rFonts w:asciiTheme="minorHAnsi" w:hAnsiTheme="minorHAnsi"/>
          <w:sz w:val="17"/>
          <w:szCs w:val="17"/>
        </w:rPr>
        <w:t xml:space="preserve">   |   </w:t>
      </w:r>
      <w:hyperlink r:id="rId35">
        <w:r w:rsidRPr="00263CD2">
          <w:rPr>
            <w:rStyle w:val="Hyperlink"/>
            <w:szCs w:val="17"/>
          </w:rPr>
          <w:t>LPLC going concern FAQ</w:t>
        </w:r>
      </w:hyperlink>
      <w:r w:rsidRPr="00263CD2">
        <w:rPr>
          <w:rStyle w:val="Hyperlink"/>
          <w:szCs w:val="17"/>
        </w:rPr>
        <w:t xml:space="preserve">   </w:t>
      </w:r>
      <w:r w:rsidRPr="004943B2">
        <w:rPr>
          <w:rFonts w:asciiTheme="minorHAnsi" w:hAnsiTheme="minorHAnsi"/>
          <w:sz w:val="17"/>
          <w:szCs w:val="17"/>
        </w:rPr>
        <w:t xml:space="preserve">|   </w:t>
      </w:r>
      <w:hyperlink r:id="rId36">
        <w:r w:rsidRPr="00263CD2">
          <w:rPr>
            <w:rStyle w:val="Hyperlink"/>
            <w:szCs w:val="17"/>
          </w:rPr>
          <w:t xml:space="preserve">LPLC </w:t>
        </w:r>
        <w:proofErr w:type="gramStart"/>
        <w:r w:rsidRPr="00263CD2">
          <w:rPr>
            <w:rStyle w:val="Hyperlink"/>
            <w:szCs w:val="17"/>
          </w:rPr>
          <w:t>farm land</w:t>
        </w:r>
        <w:proofErr w:type="gramEnd"/>
        <w:r w:rsidRPr="00263CD2">
          <w:rPr>
            <w:rStyle w:val="Hyperlink"/>
            <w:szCs w:val="17"/>
          </w:rPr>
          <w:t xml:space="preserve"> FAQ</w:t>
        </w:r>
      </w:hyperlink>
      <w:r w:rsidR="000B1E75" w:rsidRPr="00263CD2">
        <w:rPr>
          <w:rStyle w:val="Hyperlink"/>
          <w:szCs w:val="17"/>
        </w:rPr>
        <w:t xml:space="preserve">   </w:t>
      </w:r>
      <w:r w:rsidR="000B1E75" w:rsidRPr="004943B2">
        <w:rPr>
          <w:rFonts w:asciiTheme="minorHAnsi" w:hAnsiTheme="minorHAnsi"/>
          <w:sz w:val="17"/>
          <w:szCs w:val="17"/>
        </w:rPr>
        <w:t xml:space="preserve">|   </w:t>
      </w:r>
      <w:hyperlink r:id="rId37">
        <w:r w:rsidR="000B1E75" w:rsidRPr="00263CD2">
          <w:rPr>
            <w:rStyle w:val="Hyperlink"/>
            <w:szCs w:val="17"/>
          </w:rPr>
          <w:t>LPLC GST checklist</w:t>
        </w:r>
      </w:hyperlink>
    </w:p>
    <w:p w14:paraId="6517551D"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E12  GST withholding</w:t>
      </w:r>
    </w:p>
    <w:p w14:paraId="7E972C3E" w14:textId="02DA1926" w:rsidR="006B5712" w:rsidRPr="004943B2" w:rsidRDefault="00B84943" w:rsidP="1A3134AD">
      <w:pPr>
        <w:spacing w:after="40"/>
        <w:rPr>
          <w:rFonts w:asciiTheme="minorHAnsi" w:hAnsiTheme="minorHAnsi"/>
        </w:rPr>
      </w:pPr>
      <w:r w:rsidRPr="004943B2">
        <w:rPr>
          <w:rFonts w:asciiTheme="minorHAnsi" w:hAnsiTheme="minorHAnsi"/>
        </w:rPr>
        <w:t>All residential sales</w:t>
      </w:r>
      <w:r w:rsidR="00530A53" w:rsidRPr="004943B2">
        <w:rPr>
          <w:rFonts w:asciiTheme="minorHAnsi" w:hAnsiTheme="minorHAnsi"/>
        </w:rPr>
        <w:t xml:space="preserve"> (including ‘potential residential land’)</w:t>
      </w:r>
      <w:r w:rsidRPr="004943B2">
        <w:rPr>
          <w:rFonts w:asciiTheme="minorHAnsi" w:hAnsiTheme="minorHAnsi"/>
        </w:rPr>
        <w:t xml:space="preserve"> require a GST withholding notice before settlement. Where the property is </w:t>
      </w:r>
      <w:r w:rsidR="00530A53" w:rsidRPr="004943B2">
        <w:rPr>
          <w:rFonts w:asciiTheme="minorHAnsi" w:hAnsiTheme="minorHAnsi"/>
        </w:rPr>
        <w:t xml:space="preserve">a </w:t>
      </w:r>
      <w:r w:rsidR="00560B52" w:rsidRPr="004943B2">
        <w:rPr>
          <w:rFonts w:asciiTheme="minorHAnsi" w:hAnsiTheme="minorHAnsi"/>
        </w:rPr>
        <w:t>‘</w:t>
      </w:r>
      <w:r w:rsidRPr="004943B2">
        <w:rPr>
          <w:rFonts w:asciiTheme="minorHAnsi" w:hAnsiTheme="minorHAnsi"/>
        </w:rPr>
        <w:t>new residential premises</w:t>
      </w:r>
      <w:r w:rsidR="00560B52" w:rsidRPr="004943B2">
        <w:rPr>
          <w:rFonts w:asciiTheme="minorHAnsi" w:hAnsiTheme="minorHAnsi"/>
        </w:rPr>
        <w:t>’</w:t>
      </w:r>
      <w:r w:rsidRPr="004943B2">
        <w:rPr>
          <w:rFonts w:asciiTheme="minorHAnsi" w:hAnsiTheme="minorHAnsi"/>
        </w:rPr>
        <w:t xml:space="preserve"> or </w:t>
      </w:r>
      <w:r w:rsidR="00560B52" w:rsidRPr="004943B2">
        <w:rPr>
          <w:rFonts w:asciiTheme="minorHAnsi" w:hAnsiTheme="minorHAnsi"/>
        </w:rPr>
        <w:t>‘</w:t>
      </w:r>
      <w:r w:rsidRPr="004943B2">
        <w:rPr>
          <w:rFonts w:asciiTheme="minorHAnsi" w:hAnsiTheme="minorHAnsi"/>
        </w:rPr>
        <w:t>potential residential land</w:t>
      </w:r>
      <w:r w:rsidR="00560B52" w:rsidRPr="004943B2">
        <w:rPr>
          <w:rFonts w:asciiTheme="minorHAnsi" w:hAnsiTheme="minorHAnsi"/>
        </w:rPr>
        <w:t>’</w:t>
      </w:r>
      <w:r w:rsidRPr="004943B2">
        <w:rPr>
          <w:rFonts w:asciiTheme="minorHAnsi" w:hAnsiTheme="minorHAnsi"/>
        </w:rPr>
        <w:t xml:space="preserve">, the purchaser may be required to withhold and pay an amount to the ATO at settlement. The obligation to give the GST withholding notice is the </w:t>
      </w:r>
      <w:proofErr w:type="gramStart"/>
      <w:r w:rsidRPr="004943B2">
        <w:rPr>
          <w:rFonts w:asciiTheme="minorHAnsi" w:hAnsiTheme="minorHAnsi"/>
        </w:rPr>
        <w:t>vendor’s</w:t>
      </w:r>
      <w:proofErr w:type="gramEnd"/>
      <w:r w:rsidRPr="004943B2">
        <w:rPr>
          <w:rFonts w:asciiTheme="minorHAnsi" w:hAnsiTheme="minorHAnsi"/>
        </w:rPr>
        <w:t xml:space="preserve">, and under GC 25 of the LIV Contract, a vendor must provide to the purchaser the GST withholding notice no later than 14 days before settlement.  </w:t>
      </w:r>
    </w:p>
    <w:p w14:paraId="4B29153F" w14:textId="1D597728" w:rsidR="00B84943" w:rsidRPr="004943B2" w:rsidRDefault="006B5712" w:rsidP="00B84943">
      <w:pPr>
        <w:spacing w:after="40"/>
        <w:rPr>
          <w:rFonts w:asciiTheme="minorHAnsi" w:hAnsiTheme="minorHAnsi"/>
        </w:rPr>
      </w:pPr>
      <w:r w:rsidRPr="004943B2">
        <w:rPr>
          <w:rFonts w:asciiTheme="minorHAnsi" w:hAnsiTheme="minorHAnsi"/>
        </w:rPr>
        <w:t>When acting for a vendor, practitioners should determine the GST withholding position before the contract is prepared so that the vendor can be advised of any GST withholding obligations, and so that the GST withholding notice can be prepared and provided to the purchaser well in advance of settlement. Where appropriate, practitioners may wish to annex a GST withholding notice to the contract or section 32 statement.</w:t>
      </w:r>
    </w:p>
    <w:p w14:paraId="10F513A1" w14:textId="63743F3E" w:rsidR="007D6D93" w:rsidRPr="004943B2" w:rsidRDefault="006D4D22" w:rsidP="007D6D93">
      <w:pPr>
        <w:spacing w:after="40"/>
        <w:rPr>
          <w:rFonts w:asciiTheme="minorHAnsi" w:hAnsiTheme="minorHAnsi"/>
          <w:b/>
          <w:bCs/>
          <w:sz w:val="17"/>
          <w:szCs w:val="17"/>
          <w:lang w:val="en-AU"/>
        </w:rPr>
      </w:pPr>
      <w:r w:rsidRPr="004943B2">
        <w:rPr>
          <w:rFonts w:asciiTheme="minorHAnsi" w:hAnsiTheme="minorHAnsi"/>
          <w:i/>
          <w:sz w:val="17"/>
          <w:szCs w:val="17"/>
        </w:rPr>
        <w:t>Further information</w:t>
      </w:r>
      <w:r w:rsidRPr="004943B2">
        <w:rPr>
          <w:rFonts w:asciiTheme="minorHAnsi" w:hAnsiTheme="minorHAnsi"/>
          <w:iCs/>
          <w:sz w:val="17"/>
          <w:szCs w:val="17"/>
        </w:rPr>
        <w:t xml:space="preserve">:  </w:t>
      </w:r>
      <w:hyperlink r:id="rId38" w:history="1">
        <w:r w:rsidRPr="004943B2">
          <w:rPr>
            <w:rStyle w:val="Hyperlink"/>
            <w:iCs/>
            <w:szCs w:val="17"/>
          </w:rPr>
          <w:t>ATO – GST at</w:t>
        </w:r>
        <w:r w:rsidR="00227E6A" w:rsidRPr="004943B2">
          <w:rPr>
            <w:rStyle w:val="Hyperlink"/>
            <w:iCs/>
            <w:szCs w:val="17"/>
          </w:rPr>
          <w:t xml:space="preserve"> settlement</w:t>
        </w:r>
        <w:r w:rsidRPr="004943B2">
          <w:rPr>
            <w:rStyle w:val="Hyperlink"/>
            <w:iCs/>
            <w:szCs w:val="17"/>
          </w:rPr>
          <w:t xml:space="preserve">  </w:t>
        </w:r>
      </w:hyperlink>
      <w:r w:rsidRPr="004943B2">
        <w:rPr>
          <w:rFonts w:asciiTheme="minorHAnsi" w:hAnsiTheme="minorHAnsi"/>
          <w:iCs/>
          <w:sz w:val="17"/>
          <w:szCs w:val="17"/>
        </w:rPr>
        <w:t xml:space="preserve"> |   </w:t>
      </w:r>
      <w:hyperlink r:id="rId39" w:history="1">
        <w:r w:rsidRPr="004943B2">
          <w:rPr>
            <w:rStyle w:val="Hyperlink"/>
            <w:iCs/>
            <w:szCs w:val="17"/>
            <w:lang w:val="en-AU"/>
          </w:rPr>
          <w:t>GST withholding practical examples</w:t>
        </w:r>
      </w:hyperlink>
      <w:r w:rsidRPr="004943B2">
        <w:rPr>
          <w:rFonts w:asciiTheme="minorHAnsi" w:hAnsiTheme="minorHAnsi"/>
          <w:iCs/>
          <w:sz w:val="17"/>
          <w:szCs w:val="17"/>
          <w:lang w:val="en-AU"/>
        </w:rPr>
        <w:t xml:space="preserve">   </w:t>
      </w:r>
      <w:r w:rsidRPr="004943B2">
        <w:rPr>
          <w:rFonts w:asciiTheme="minorHAnsi" w:hAnsiTheme="minorHAnsi"/>
          <w:iCs/>
          <w:sz w:val="17"/>
          <w:szCs w:val="17"/>
        </w:rPr>
        <w:t xml:space="preserve">|   </w:t>
      </w:r>
      <w:hyperlink r:id="rId40" w:history="1">
        <w:r w:rsidRPr="004943B2">
          <w:rPr>
            <w:rStyle w:val="Hyperlink"/>
            <w:iCs/>
            <w:szCs w:val="17"/>
            <w:lang w:val="en-AU"/>
          </w:rPr>
          <w:t>Vendor/supplier GST withholding notice</w:t>
        </w:r>
      </w:hyperlink>
      <w:r w:rsidRPr="004943B2">
        <w:rPr>
          <w:rFonts w:asciiTheme="minorHAnsi" w:hAnsiTheme="minorHAnsi"/>
          <w:iCs/>
          <w:sz w:val="17"/>
          <w:szCs w:val="17"/>
          <w:lang w:val="en-AU"/>
        </w:rPr>
        <w:t xml:space="preserve">   </w:t>
      </w:r>
      <w:r w:rsidRPr="004943B2">
        <w:rPr>
          <w:rFonts w:asciiTheme="minorHAnsi" w:hAnsiTheme="minorHAnsi"/>
          <w:iCs/>
          <w:sz w:val="17"/>
          <w:szCs w:val="17"/>
        </w:rPr>
        <w:t xml:space="preserve">|   </w:t>
      </w:r>
      <w:hyperlink r:id="rId41" w:history="1">
        <w:r w:rsidRPr="004943B2">
          <w:rPr>
            <w:rStyle w:val="Hyperlink"/>
            <w:iCs/>
            <w:szCs w:val="17"/>
            <w:lang w:val="en-AU"/>
          </w:rPr>
          <w:t>Goods and Services Tax</w:t>
        </w:r>
      </w:hyperlink>
      <w:r w:rsidR="00560B52" w:rsidRPr="004943B2">
        <w:rPr>
          <w:rFonts w:asciiTheme="minorHAnsi" w:hAnsiTheme="minorHAnsi"/>
          <w:iCs/>
        </w:rPr>
        <w:t xml:space="preserve">   </w:t>
      </w:r>
      <w:r w:rsidR="00560B52" w:rsidRPr="004943B2">
        <w:rPr>
          <w:rFonts w:asciiTheme="minorHAnsi" w:hAnsiTheme="minorHAnsi"/>
          <w:iCs/>
          <w:sz w:val="17"/>
          <w:szCs w:val="17"/>
        </w:rPr>
        <w:t xml:space="preserve">|   </w:t>
      </w:r>
      <w:hyperlink r:id="rId42" w:history="1">
        <w:r w:rsidR="00560B52" w:rsidRPr="004943B2">
          <w:rPr>
            <w:rStyle w:val="Hyperlink"/>
            <w:iCs/>
            <w:szCs w:val="17"/>
          </w:rPr>
          <w:t>GST</w:t>
        </w:r>
        <w:r w:rsidR="00974968" w:rsidRPr="004943B2">
          <w:rPr>
            <w:rStyle w:val="Hyperlink"/>
            <w:iCs/>
            <w:szCs w:val="17"/>
          </w:rPr>
          <w:t xml:space="preserve"> withholding flowchart</w:t>
        </w:r>
      </w:hyperlink>
      <w:r w:rsidR="00974968" w:rsidRPr="004943B2">
        <w:rPr>
          <w:rFonts w:asciiTheme="minorHAnsi" w:hAnsiTheme="minorHAnsi"/>
          <w:sz w:val="17"/>
          <w:szCs w:val="17"/>
        </w:rPr>
        <w:t xml:space="preserve"> </w:t>
      </w:r>
    </w:p>
    <w:p w14:paraId="0220F851"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E13  Foreign resident capital gains withholding</w:t>
      </w:r>
    </w:p>
    <w:p w14:paraId="01BAF144" w14:textId="338F36E0" w:rsidR="008D5C3A" w:rsidRPr="004943B2" w:rsidRDefault="00B84943" w:rsidP="1A3134AD">
      <w:pPr>
        <w:spacing w:after="40"/>
        <w:rPr>
          <w:rFonts w:asciiTheme="minorHAnsi" w:hAnsiTheme="minorHAnsi"/>
        </w:rPr>
      </w:pPr>
      <w:r w:rsidRPr="004943B2">
        <w:rPr>
          <w:rFonts w:asciiTheme="minorHAnsi" w:hAnsiTheme="minorHAnsi"/>
        </w:rPr>
        <w:t xml:space="preserve">Every vendor is treated as a foreign resident unless a </w:t>
      </w:r>
      <w:r w:rsidR="000C6974" w:rsidRPr="004943B2">
        <w:rPr>
          <w:rFonts w:asciiTheme="minorHAnsi" w:hAnsiTheme="minorHAnsi"/>
        </w:rPr>
        <w:t xml:space="preserve">valid </w:t>
      </w:r>
      <w:r w:rsidRPr="004943B2">
        <w:rPr>
          <w:rFonts w:asciiTheme="minorHAnsi" w:hAnsiTheme="minorHAnsi"/>
        </w:rPr>
        <w:t xml:space="preserve">clearance certificate is </w:t>
      </w:r>
      <w:r w:rsidR="000C6974" w:rsidRPr="004943B2">
        <w:rPr>
          <w:rFonts w:asciiTheme="minorHAnsi" w:hAnsiTheme="minorHAnsi"/>
        </w:rPr>
        <w:t xml:space="preserve">obtained from the </w:t>
      </w:r>
      <w:r w:rsidR="0022569E" w:rsidRPr="004943B2">
        <w:rPr>
          <w:rFonts w:asciiTheme="minorHAnsi" w:hAnsiTheme="minorHAnsi"/>
        </w:rPr>
        <w:t>ATO and</w:t>
      </w:r>
      <w:r w:rsidR="000C6974" w:rsidRPr="004943B2">
        <w:rPr>
          <w:rFonts w:asciiTheme="minorHAnsi" w:hAnsiTheme="minorHAnsi"/>
        </w:rPr>
        <w:t xml:space="preserve"> provided</w:t>
      </w:r>
      <w:r w:rsidRPr="004943B2">
        <w:rPr>
          <w:rFonts w:asciiTheme="minorHAnsi" w:hAnsiTheme="minorHAnsi"/>
        </w:rPr>
        <w:t xml:space="preserve"> to the purchaser. If a clearance certificate is not obtained</w:t>
      </w:r>
      <w:r w:rsidR="00F71C1A" w:rsidRPr="004943B2">
        <w:rPr>
          <w:rFonts w:asciiTheme="minorHAnsi" w:hAnsiTheme="minorHAnsi"/>
        </w:rPr>
        <w:t xml:space="preserve"> </w:t>
      </w:r>
      <w:r w:rsidR="0024375A" w:rsidRPr="004943B2">
        <w:rPr>
          <w:rFonts w:asciiTheme="minorHAnsi" w:hAnsiTheme="minorHAnsi"/>
        </w:rPr>
        <w:t>and provided to the purchaser at or prior to settlement</w:t>
      </w:r>
      <w:r w:rsidRPr="004943B2">
        <w:rPr>
          <w:rFonts w:asciiTheme="minorHAnsi" w:hAnsiTheme="minorHAnsi"/>
        </w:rPr>
        <w:t>, then the purchaser will be required to withhold and remit part of the sale price to the ATO at settlement.</w:t>
      </w:r>
    </w:p>
    <w:p w14:paraId="6255C7E1" w14:textId="270EF6A1" w:rsidR="00B74CD9" w:rsidRPr="004943B2" w:rsidRDefault="00395B7E" w:rsidP="00B84943">
      <w:pPr>
        <w:spacing w:after="40"/>
        <w:rPr>
          <w:rFonts w:asciiTheme="minorHAnsi" w:hAnsiTheme="minorHAnsi"/>
        </w:rPr>
      </w:pPr>
      <w:r w:rsidRPr="004943B2">
        <w:rPr>
          <w:rFonts w:asciiTheme="minorHAnsi" w:hAnsiTheme="minorHAnsi"/>
        </w:rPr>
        <w:t>Before sending the clearance certificate to the purchaser, vendor p</w:t>
      </w:r>
      <w:r w:rsidR="00B5639C" w:rsidRPr="004943B2">
        <w:rPr>
          <w:rFonts w:asciiTheme="minorHAnsi" w:hAnsiTheme="minorHAnsi"/>
        </w:rPr>
        <w:t>ractitioners should also carefully review the clearance certificate</w:t>
      </w:r>
      <w:r w:rsidR="00A728EB" w:rsidRPr="004943B2">
        <w:rPr>
          <w:rFonts w:asciiTheme="minorHAnsi" w:hAnsiTheme="minorHAnsi"/>
        </w:rPr>
        <w:t xml:space="preserve"> to make sure that it is valid and </w:t>
      </w:r>
      <w:r w:rsidRPr="004943B2">
        <w:rPr>
          <w:rFonts w:asciiTheme="minorHAnsi" w:hAnsiTheme="minorHAnsi"/>
        </w:rPr>
        <w:t>satisfies the requirements of the ATO.</w:t>
      </w:r>
    </w:p>
    <w:p w14:paraId="42C8CD98" w14:textId="79519A91" w:rsidR="000A53AB" w:rsidRPr="004943B2" w:rsidRDefault="000A53AB" w:rsidP="1A3134AD">
      <w:pPr>
        <w:spacing w:after="40"/>
        <w:rPr>
          <w:rFonts w:asciiTheme="minorHAnsi" w:hAnsiTheme="minorHAnsi"/>
          <w:i/>
          <w:iCs/>
          <w:sz w:val="17"/>
          <w:szCs w:val="17"/>
        </w:rPr>
      </w:pPr>
      <w:r w:rsidRPr="004943B2">
        <w:rPr>
          <w:rFonts w:asciiTheme="minorHAnsi" w:hAnsiTheme="minorHAnsi"/>
          <w:i/>
          <w:sz w:val="17"/>
          <w:szCs w:val="17"/>
        </w:rPr>
        <w:t xml:space="preserve">Further information:  </w:t>
      </w:r>
      <w:hyperlink r:id="rId43" w:history="1">
        <w:r w:rsidRPr="004943B2">
          <w:rPr>
            <w:rStyle w:val="Hyperlink"/>
            <w:iCs/>
            <w:szCs w:val="17"/>
          </w:rPr>
          <w:t xml:space="preserve">ATO – Foreign resident </w:t>
        </w:r>
        <w:r w:rsidR="00CD08A9" w:rsidRPr="004943B2">
          <w:rPr>
            <w:rStyle w:val="Hyperlink"/>
            <w:iCs/>
            <w:szCs w:val="17"/>
          </w:rPr>
          <w:t>capital gains withholding</w:t>
        </w:r>
      </w:hyperlink>
    </w:p>
    <w:p w14:paraId="2FB1718C"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szCs w:val="21"/>
        </w:rPr>
        <w:t xml:space="preserve">E14  Leases and </w:t>
      </w:r>
      <w:proofErr w:type="spellStart"/>
      <w:r w:rsidRPr="004943B2">
        <w:rPr>
          <w:rFonts w:asciiTheme="minorHAnsi" w:hAnsiTheme="minorHAnsi"/>
          <w:b/>
          <w:color w:val="1F3364"/>
          <w:sz w:val="21"/>
          <w:szCs w:val="21"/>
        </w:rPr>
        <w:t>licences</w:t>
      </w:r>
      <w:proofErr w:type="spellEnd"/>
    </w:p>
    <w:p w14:paraId="455DDF4D" w14:textId="46360CB5" w:rsidR="00B84943" w:rsidRPr="004943B2" w:rsidRDefault="008E64AA" w:rsidP="00B84943">
      <w:pPr>
        <w:spacing w:after="40"/>
        <w:rPr>
          <w:rFonts w:asciiTheme="minorHAnsi" w:hAnsiTheme="minorHAnsi"/>
        </w:rPr>
      </w:pPr>
      <w:r w:rsidRPr="004943B2">
        <w:rPr>
          <w:rFonts w:asciiTheme="minorHAnsi" w:hAnsiTheme="minorHAnsi"/>
        </w:rPr>
        <w:t xml:space="preserve">If the property is subject to a lease, then the correct lease boxes in the particulars of sale should be checked. </w:t>
      </w:r>
      <w:r w:rsidR="001220F0" w:rsidRPr="004943B2">
        <w:rPr>
          <w:rFonts w:asciiTheme="minorHAnsi" w:hAnsiTheme="minorHAnsi"/>
        </w:rPr>
        <w:t>Practitioners should</w:t>
      </w:r>
      <w:r w:rsidRPr="004943B2">
        <w:rPr>
          <w:rFonts w:asciiTheme="minorHAnsi" w:hAnsiTheme="minorHAnsi"/>
        </w:rPr>
        <w:t xml:space="preserve"> </w:t>
      </w:r>
      <w:r w:rsidR="001220F0" w:rsidRPr="004943B2">
        <w:rPr>
          <w:rFonts w:asciiTheme="minorHAnsi" w:hAnsiTheme="minorHAnsi"/>
        </w:rPr>
        <w:t>a</w:t>
      </w:r>
      <w:r w:rsidRPr="004943B2">
        <w:rPr>
          <w:rFonts w:asciiTheme="minorHAnsi" w:hAnsiTheme="minorHAnsi"/>
        </w:rPr>
        <w:t xml:space="preserve">ttach the lease, and any disclosure statement, renewal </w:t>
      </w:r>
      <w:r w:rsidR="001220F0" w:rsidRPr="004943B2">
        <w:rPr>
          <w:rFonts w:asciiTheme="minorHAnsi" w:hAnsiTheme="minorHAnsi"/>
        </w:rPr>
        <w:t xml:space="preserve">of lease </w:t>
      </w:r>
      <w:r w:rsidRPr="004943B2">
        <w:rPr>
          <w:rFonts w:asciiTheme="minorHAnsi" w:hAnsiTheme="minorHAnsi"/>
        </w:rPr>
        <w:t xml:space="preserve">or deed of variation to the section 32 statement. Whilst there is conflicting authority on whether a lease must be disclosed under section 32C or merely annexed to the contract, it is prudent to annex the lease documentation to </w:t>
      </w:r>
      <w:proofErr w:type="gramStart"/>
      <w:r w:rsidRPr="004943B2">
        <w:rPr>
          <w:rFonts w:asciiTheme="minorHAnsi" w:hAnsiTheme="minorHAnsi"/>
        </w:rPr>
        <w:t>the section</w:t>
      </w:r>
      <w:proofErr w:type="gramEnd"/>
      <w:r w:rsidRPr="004943B2">
        <w:rPr>
          <w:rFonts w:asciiTheme="minorHAnsi" w:hAnsiTheme="minorHAnsi"/>
        </w:rPr>
        <w:t xml:space="preserve"> 32 statement.</w:t>
      </w:r>
    </w:p>
    <w:p w14:paraId="6233964D" w14:textId="440D5A90" w:rsidR="003406C2" w:rsidRPr="004943B2" w:rsidRDefault="003406C2" w:rsidP="1A3134AD">
      <w:pPr>
        <w:spacing w:after="40"/>
        <w:rPr>
          <w:rFonts w:asciiTheme="minorHAnsi" w:hAnsiTheme="minorHAnsi"/>
        </w:rPr>
      </w:pPr>
      <w:r w:rsidRPr="004943B2">
        <w:rPr>
          <w:rFonts w:asciiTheme="minorHAnsi" w:hAnsiTheme="minorHAnsi"/>
        </w:rPr>
        <w:t>Where the tenancy is not a residential tenancy, consider a special condition to cover adjustment of the outgoings the tenant is liable for under the lease, the security deposit, any bank guarantee, and any tenant arrears.</w:t>
      </w:r>
    </w:p>
    <w:p w14:paraId="3D4C65D7" w14:textId="2BD99143" w:rsidR="00B84943" w:rsidRPr="004943B2" w:rsidRDefault="00E40BD8" w:rsidP="00B84943">
      <w:pPr>
        <w:spacing w:after="40"/>
        <w:rPr>
          <w:rFonts w:asciiTheme="minorHAnsi" w:hAnsiTheme="minorHAnsi"/>
        </w:rPr>
      </w:pPr>
      <w:proofErr w:type="gramStart"/>
      <w:r w:rsidRPr="004943B2">
        <w:rPr>
          <w:rFonts w:asciiTheme="minorHAnsi" w:hAnsiTheme="minorHAnsi"/>
        </w:rPr>
        <w:t>Practitioners</w:t>
      </w:r>
      <w:r w:rsidR="00011CFF" w:rsidRPr="004943B2">
        <w:rPr>
          <w:rFonts w:asciiTheme="minorHAnsi" w:hAnsiTheme="minorHAnsi"/>
        </w:rPr>
        <w:t>,</w:t>
      </w:r>
      <w:proofErr w:type="gramEnd"/>
      <w:r w:rsidR="00011CFF" w:rsidRPr="004943B2">
        <w:rPr>
          <w:rFonts w:asciiTheme="minorHAnsi" w:hAnsiTheme="minorHAnsi"/>
        </w:rPr>
        <w:t xml:space="preserve"> should c</w:t>
      </w:r>
      <w:r w:rsidR="00B84943" w:rsidRPr="004943B2">
        <w:rPr>
          <w:rFonts w:asciiTheme="minorHAnsi" w:hAnsiTheme="minorHAnsi"/>
        </w:rPr>
        <w:t xml:space="preserve">onsider separately any </w:t>
      </w:r>
      <w:proofErr w:type="spellStart"/>
      <w:r w:rsidR="00B84943" w:rsidRPr="004943B2">
        <w:rPr>
          <w:rFonts w:asciiTheme="minorHAnsi" w:hAnsiTheme="minorHAnsi"/>
        </w:rPr>
        <w:t>licence</w:t>
      </w:r>
      <w:proofErr w:type="spellEnd"/>
      <w:r w:rsidR="00B84943" w:rsidRPr="004943B2">
        <w:rPr>
          <w:rFonts w:asciiTheme="minorHAnsi" w:hAnsiTheme="minorHAnsi"/>
        </w:rPr>
        <w:t xml:space="preserve"> over the land being sold, and any </w:t>
      </w:r>
      <w:proofErr w:type="spellStart"/>
      <w:r w:rsidR="00B84943" w:rsidRPr="004943B2">
        <w:rPr>
          <w:rFonts w:asciiTheme="minorHAnsi" w:hAnsiTheme="minorHAnsi"/>
        </w:rPr>
        <w:t>licence</w:t>
      </w:r>
      <w:proofErr w:type="spellEnd"/>
      <w:r w:rsidR="00B84943" w:rsidRPr="004943B2">
        <w:rPr>
          <w:rFonts w:asciiTheme="minorHAnsi" w:hAnsiTheme="minorHAnsi"/>
        </w:rPr>
        <w:t xml:space="preserve"> or lease over third party land that benefits the land. A common example is where a </w:t>
      </w:r>
      <w:proofErr w:type="gramStart"/>
      <w:r w:rsidR="00B84943" w:rsidRPr="004943B2">
        <w:rPr>
          <w:rFonts w:asciiTheme="minorHAnsi" w:hAnsiTheme="minorHAnsi"/>
        </w:rPr>
        <w:t>lot</w:t>
      </w:r>
      <w:proofErr w:type="gramEnd"/>
      <w:r w:rsidR="00B84943" w:rsidRPr="004943B2">
        <w:rPr>
          <w:rFonts w:asciiTheme="minorHAnsi" w:hAnsiTheme="minorHAnsi"/>
        </w:rPr>
        <w:t xml:space="preserve"> </w:t>
      </w:r>
      <w:proofErr w:type="gramStart"/>
      <w:r w:rsidR="00B84943" w:rsidRPr="004943B2">
        <w:rPr>
          <w:rFonts w:asciiTheme="minorHAnsi" w:hAnsiTheme="minorHAnsi"/>
        </w:rPr>
        <w:t>owner has</w:t>
      </w:r>
      <w:proofErr w:type="gramEnd"/>
      <w:r w:rsidR="00B84943" w:rsidRPr="004943B2">
        <w:rPr>
          <w:rFonts w:asciiTheme="minorHAnsi" w:hAnsiTheme="minorHAnsi"/>
        </w:rPr>
        <w:t xml:space="preserve"> rights over adjoining or nearby land such as a car stacker or a crown </w:t>
      </w:r>
      <w:proofErr w:type="spellStart"/>
      <w:r w:rsidR="00B84943" w:rsidRPr="004943B2">
        <w:rPr>
          <w:rFonts w:asciiTheme="minorHAnsi" w:hAnsiTheme="minorHAnsi"/>
        </w:rPr>
        <w:t>licence</w:t>
      </w:r>
      <w:proofErr w:type="spellEnd"/>
      <w:r w:rsidR="00B84943" w:rsidRPr="004943B2">
        <w:rPr>
          <w:rFonts w:asciiTheme="minorHAnsi" w:hAnsiTheme="minorHAnsi"/>
        </w:rPr>
        <w:t xml:space="preserve">, or a </w:t>
      </w:r>
      <w:proofErr w:type="spellStart"/>
      <w:r w:rsidR="00B84943" w:rsidRPr="004943B2">
        <w:rPr>
          <w:rFonts w:asciiTheme="minorHAnsi" w:hAnsiTheme="minorHAnsi"/>
        </w:rPr>
        <w:t>licence</w:t>
      </w:r>
      <w:proofErr w:type="spellEnd"/>
      <w:r w:rsidR="00B84943" w:rsidRPr="004943B2">
        <w:rPr>
          <w:rFonts w:asciiTheme="minorHAnsi" w:hAnsiTheme="minorHAnsi"/>
        </w:rPr>
        <w:t xml:space="preserve"> granted over the land being sold. Where there is a </w:t>
      </w:r>
      <w:proofErr w:type="spellStart"/>
      <w:r w:rsidR="00B84943" w:rsidRPr="004943B2">
        <w:rPr>
          <w:rFonts w:asciiTheme="minorHAnsi" w:hAnsiTheme="minorHAnsi"/>
        </w:rPr>
        <w:t>licence</w:t>
      </w:r>
      <w:proofErr w:type="spellEnd"/>
      <w:r w:rsidR="00B84943" w:rsidRPr="004943B2">
        <w:rPr>
          <w:rFonts w:asciiTheme="minorHAnsi" w:hAnsiTheme="minorHAnsi"/>
        </w:rPr>
        <w:t xml:space="preserve"> and subject to the client’s instructions, a special condition </w:t>
      </w:r>
      <w:r w:rsidR="00EA5975" w:rsidRPr="004943B2">
        <w:rPr>
          <w:rFonts w:asciiTheme="minorHAnsi" w:hAnsiTheme="minorHAnsi"/>
        </w:rPr>
        <w:t>may</w:t>
      </w:r>
      <w:r w:rsidR="00B84943" w:rsidRPr="004943B2">
        <w:rPr>
          <w:rFonts w:asciiTheme="minorHAnsi" w:hAnsiTheme="minorHAnsi"/>
        </w:rPr>
        <w:t xml:space="preserve"> need to be inserted into the contract dealing with the </w:t>
      </w:r>
      <w:proofErr w:type="spellStart"/>
      <w:r w:rsidR="00B84943" w:rsidRPr="004943B2">
        <w:rPr>
          <w:rFonts w:asciiTheme="minorHAnsi" w:hAnsiTheme="minorHAnsi"/>
        </w:rPr>
        <w:t>licence</w:t>
      </w:r>
      <w:proofErr w:type="spellEnd"/>
      <w:r w:rsidR="00B84943" w:rsidRPr="004943B2">
        <w:rPr>
          <w:rFonts w:asciiTheme="minorHAnsi" w:hAnsiTheme="minorHAnsi"/>
        </w:rPr>
        <w:t xml:space="preserve">, and for convenience the </w:t>
      </w:r>
      <w:proofErr w:type="spellStart"/>
      <w:r w:rsidR="00B84943" w:rsidRPr="004943B2">
        <w:rPr>
          <w:rFonts w:asciiTheme="minorHAnsi" w:hAnsiTheme="minorHAnsi"/>
        </w:rPr>
        <w:t>licence</w:t>
      </w:r>
      <w:proofErr w:type="spellEnd"/>
      <w:r w:rsidR="00B84943" w:rsidRPr="004943B2">
        <w:rPr>
          <w:rFonts w:asciiTheme="minorHAnsi" w:hAnsiTheme="minorHAnsi"/>
        </w:rPr>
        <w:t xml:space="preserve"> document(s) should be annexed to </w:t>
      </w:r>
      <w:proofErr w:type="gramStart"/>
      <w:r w:rsidR="00B84943" w:rsidRPr="004943B2">
        <w:rPr>
          <w:rFonts w:asciiTheme="minorHAnsi" w:hAnsiTheme="minorHAnsi"/>
        </w:rPr>
        <w:t>the section</w:t>
      </w:r>
      <w:proofErr w:type="gramEnd"/>
      <w:r w:rsidR="00B84943" w:rsidRPr="004943B2">
        <w:rPr>
          <w:rFonts w:asciiTheme="minorHAnsi" w:hAnsiTheme="minorHAnsi"/>
        </w:rPr>
        <w:t xml:space="preserve"> 32 statement.  </w:t>
      </w:r>
    </w:p>
    <w:p w14:paraId="0A55759C" w14:textId="337EF315" w:rsidR="00B84943" w:rsidRPr="004943B2" w:rsidRDefault="00B84943" w:rsidP="00B84943">
      <w:pPr>
        <w:spacing w:before="40" w:after="40"/>
        <w:rPr>
          <w:rFonts w:asciiTheme="minorHAnsi" w:hAnsiTheme="minorHAnsi"/>
        </w:rPr>
      </w:pPr>
      <w:r w:rsidRPr="004943B2">
        <w:rPr>
          <w:rFonts w:asciiTheme="minorHAnsi" w:hAnsiTheme="minorHAnsi"/>
          <w:i/>
          <w:sz w:val="17"/>
          <w:szCs w:val="17"/>
        </w:rPr>
        <w:t xml:space="preserve">Further information:  </w:t>
      </w:r>
      <w:hyperlink r:id="rId44">
        <w:r w:rsidRPr="00942C14">
          <w:rPr>
            <w:rStyle w:val="Hyperlink"/>
            <w:szCs w:val="17"/>
          </w:rPr>
          <w:t>Section 32C of the Sale of Land Act</w:t>
        </w:r>
      </w:hyperlink>
    </w:p>
    <w:p w14:paraId="0B8DAB08" w14:textId="352691DA" w:rsidR="00B84943" w:rsidRPr="00942C14" w:rsidRDefault="00EC4E7A" w:rsidP="00EC4E7A">
      <w:pPr>
        <w:rPr>
          <w:rStyle w:val="Hyperlink"/>
        </w:rPr>
      </w:pPr>
      <w:r w:rsidRPr="00EC4E7A">
        <w:rPr>
          <w:rFonts w:asciiTheme="minorHAnsi" w:hAnsiTheme="minorHAnsi"/>
          <w:b/>
          <w:color w:val="1F3364"/>
          <w:sz w:val="21"/>
          <w:szCs w:val="21"/>
        </w:rPr>
        <w:lastRenderedPageBreak/>
        <w:t>E15  Terms contracts</w:t>
      </w:r>
    </w:p>
    <w:p w14:paraId="6934FF7B" w14:textId="624AE241" w:rsidR="00A40EC7" w:rsidRPr="004943B2" w:rsidRDefault="00A40EC7" w:rsidP="00B84943">
      <w:pPr>
        <w:spacing w:after="40"/>
        <w:rPr>
          <w:rFonts w:asciiTheme="minorHAnsi" w:hAnsiTheme="minorHAnsi"/>
        </w:rPr>
      </w:pPr>
      <w:r w:rsidRPr="004943B2">
        <w:rPr>
          <w:rFonts w:asciiTheme="minorHAnsi" w:hAnsiTheme="minorHAnsi"/>
        </w:rPr>
        <w:t xml:space="preserve">If </w:t>
      </w:r>
      <w:proofErr w:type="gramStart"/>
      <w:r w:rsidRPr="004943B2">
        <w:rPr>
          <w:rFonts w:asciiTheme="minorHAnsi" w:hAnsiTheme="minorHAnsi"/>
        </w:rPr>
        <w:t>a terms</w:t>
      </w:r>
      <w:proofErr w:type="gramEnd"/>
      <w:r w:rsidRPr="004943B2">
        <w:rPr>
          <w:rFonts w:asciiTheme="minorHAnsi" w:hAnsiTheme="minorHAnsi"/>
        </w:rPr>
        <w:t xml:space="preserve"> contract is created, it requires strict compliance with the provisions under the Sale of Land Act. If the vendor does not comply with these requirements, the purchaser has a contract termination </w:t>
      </w:r>
      <w:proofErr w:type="gramStart"/>
      <w:r w:rsidRPr="004943B2">
        <w:rPr>
          <w:rFonts w:asciiTheme="minorHAnsi" w:hAnsiTheme="minorHAnsi"/>
        </w:rPr>
        <w:t>right</w:t>
      </w:r>
      <w:proofErr w:type="gramEnd"/>
      <w:r w:rsidRPr="004943B2">
        <w:rPr>
          <w:rFonts w:asciiTheme="minorHAnsi" w:hAnsiTheme="minorHAnsi"/>
        </w:rPr>
        <w:t xml:space="preserve"> any time prior to final settlement.</w:t>
      </w:r>
    </w:p>
    <w:p w14:paraId="4E5616D5" w14:textId="19ABA711" w:rsidR="00D85DAB" w:rsidRPr="004943B2" w:rsidRDefault="00D85DAB" w:rsidP="00B84943">
      <w:pPr>
        <w:spacing w:after="40"/>
        <w:rPr>
          <w:rFonts w:asciiTheme="minorHAnsi" w:hAnsiTheme="minorHAnsi"/>
        </w:rPr>
      </w:pPr>
      <w:r w:rsidRPr="004943B2">
        <w:rPr>
          <w:rFonts w:asciiTheme="minorHAnsi" w:hAnsiTheme="minorHAnsi"/>
        </w:rPr>
        <w:t>Terms contracts can occur where the purchaser is</w:t>
      </w:r>
    </w:p>
    <w:p w14:paraId="36880161" w14:textId="3E889D26" w:rsidR="00575D6F" w:rsidRPr="004943B2" w:rsidRDefault="004767BE" w:rsidP="001C3BCF">
      <w:pPr>
        <w:pStyle w:val="ListParagraph"/>
        <w:spacing w:after="40"/>
        <w:ind w:left="697" w:hanging="357"/>
        <w:rPr>
          <w:rFonts w:asciiTheme="minorHAnsi" w:hAnsiTheme="minorHAnsi"/>
        </w:rPr>
      </w:pPr>
      <w:r w:rsidRPr="004943B2">
        <w:rPr>
          <w:rFonts w:asciiTheme="minorHAnsi" w:hAnsiTheme="minorHAnsi"/>
        </w:rPr>
        <w:t xml:space="preserve">obliged to make 2 or more payments (other than a </w:t>
      </w:r>
      <w:hyperlink r:id="rId45" w:anchor="deposit" w:history="1">
        <w:r w:rsidRPr="004943B2">
          <w:rPr>
            <w:rStyle w:val="Hyperlink"/>
          </w:rPr>
          <w:t>deposit</w:t>
        </w:r>
      </w:hyperlink>
      <w:r w:rsidRPr="004943B2">
        <w:rPr>
          <w:rFonts w:asciiTheme="minorHAnsi" w:hAnsiTheme="minorHAnsi"/>
        </w:rPr>
        <w:t xml:space="preserve"> or </w:t>
      </w:r>
      <w:hyperlink r:id="rId46" w:anchor="final_payment" w:history="1">
        <w:r w:rsidRPr="004943B2">
          <w:rPr>
            <w:rStyle w:val="Hyperlink"/>
          </w:rPr>
          <w:t>final payment</w:t>
        </w:r>
      </w:hyperlink>
      <w:r w:rsidRPr="004943B2">
        <w:rPr>
          <w:rFonts w:asciiTheme="minorHAnsi" w:hAnsiTheme="minorHAnsi"/>
        </w:rPr>
        <w:t>) to the vendor after the execution of the contract and before the purchaser is entitled to a conveyance or transfer of the land; or</w:t>
      </w:r>
    </w:p>
    <w:p w14:paraId="7325A21A" w14:textId="3534271C" w:rsidR="004767BE" w:rsidRPr="004943B2" w:rsidRDefault="004767BE" w:rsidP="001C3BCF">
      <w:pPr>
        <w:pStyle w:val="ListParagraph"/>
        <w:spacing w:after="40"/>
        <w:ind w:left="697" w:hanging="357"/>
        <w:rPr>
          <w:rFonts w:asciiTheme="minorHAnsi" w:hAnsiTheme="minorHAnsi"/>
        </w:rPr>
      </w:pPr>
      <w:r w:rsidRPr="004943B2">
        <w:rPr>
          <w:rFonts w:asciiTheme="minorHAnsi" w:hAnsiTheme="minorHAnsi"/>
        </w:rPr>
        <w:t>entitled to possession of the land or to the receipt of rents and profits before the purchaser becomes entitled to a conveyance or transfer of the land.</w:t>
      </w:r>
    </w:p>
    <w:p w14:paraId="1577D612" w14:textId="2D79FE2E" w:rsidR="00066591" w:rsidRPr="004943B2" w:rsidRDefault="00751975" w:rsidP="00B84943">
      <w:pPr>
        <w:spacing w:after="40"/>
        <w:rPr>
          <w:rFonts w:asciiTheme="minorHAnsi" w:hAnsiTheme="minorHAnsi"/>
        </w:rPr>
      </w:pPr>
      <w:r w:rsidRPr="004943B2">
        <w:rPr>
          <w:rFonts w:asciiTheme="minorHAnsi" w:hAnsiTheme="minorHAnsi"/>
        </w:rPr>
        <w:t xml:space="preserve">Practitioners may wish to use this tool to diagnose potential terms contracts: </w:t>
      </w:r>
      <w:hyperlink r:id="rId47">
        <w:r w:rsidRPr="004943B2">
          <w:rPr>
            <w:rStyle w:val="Hyperlink"/>
          </w:rPr>
          <w:t>Terms contract checker · LPLC</w:t>
        </w:r>
      </w:hyperlink>
      <w:r w:rsidRPr="004943B2">
        <w:rPr>
          <w:rFonts w:asciiTheme="minorHAnsi" w:hAnsiTheme="minorHAnsi"/>
        </w:rPr>
        <w:t>.</w:t>
      </w:r>
    </w:p>
    <w:p w14:paraId="25D4508D" w14:textId="663DE7C3" w:rsidR="00B84943" w:rsidRPr="004943B2" w:rsidRDefault="00D607A8" w:rsidP="00B84943">
      <w:pPr>
        <w:spacing w:after="40"/>
        <w:rPr>
          <w:rFonts w:asciiTheme="minorHAnsi" w:hAnsiTheme="minorHAnsi"/>
        </w:rPr>
      </w:pPr>
      <w:r w:rsidRPr="004943B2">
        <w:rPr>
          <w:rFonts w:asciiTheme="minorHAnsi" w:hAnsiTheme="minorHAnsi"/>
        </w:rPr>
        <w:t xml:space="preserve">Consequently, where a vendor intends to sell the property on a terms contract, and due to the complexity of the terms contract provisions in the Sale of Land Act, vendors should be encouraged to seek </w:t>
      </w:r>
      <w:proofErr w:type="spellStart"/>
      <w:r w:rsidRPr="004943B2">
        <w:rPr>
          <w:rFonts w:asciiTheme="minorHAnsi" w:hAnsiTheme="minorHAnsi"/>
        </w:rPr>
        <w:t>specialised</w:t>
      </w:r>
      <w:proofErr w:type="spellEnd"/>
      <w:r w:rsidRPr="004943B2">
        <w:rPr>
          <w:rFonts w:asciiTheme="minorHAnsi" w:hAnsiTheme="minorHAnsi"/>
        </w:rPr>
        <w:t xml:space="preserve"> advice from a property lawyer experienced in preparing and documenting terms contracts. </w:t>
      </w:r>
    </w:p>
    <w:p w14:paraId="5D230477" w14:textId="6FF10971" w:rsidR="00B84943" w:rsidRPr="004943B2" w:rsidRDefault="00B84943" w:rsidP="00B84943">
      <w:pPr>
        <w:spacing w:before="40" w:after="40"/>
        <w:rPr>
          <w:rFonts w:asciiTheme="minorHAnsi" w:hAnsiTheme="minorHAnsi"/>
        </w:rPr>
      </w:pPr>
      <w:r w:rsidRPr="004943B2">
        <w:rPr>
          <w:rFonts w:asciiTheme="minorHAnsi" w:hAnsiTheme="minorHAnsi"/>
          <w:i/>
          <w:sz w:val="17"/>
        </w:rPr>
        <w:t xml:space="preserve">Further information:  </w:t>
      </w:r>
      <w:hyperlink r:id="rId48">
        <w:r w:rsidRPr="00942C14">
          <w:rPr>
            <w:rStyle w:val="Hyperlink"/>
          </w:rPr>
          <w:t>Count payments to make sure it isn’t a voidable terms contract</w:t>
        </w:r>
      </w:hyperlink>
      <w:r w:rsidRPr="004943B2">
        <w:rPr>
          <w:rFonts w:asciiTheme="minorHAnsi" w:hAnsiTheme="minorHAnsi"/>
          <w:sz w:val="17"/>
        </w:rPr>
        <w:t xml:space="preserve">   |   </w:t>
      </w:r>
      <w:hyperlink r:id="rId49">
        <w:r w:rsidRPr="00942C14">
          <w:rPr>
            <w:rStyle w:val="Hyperlink"/>
          </w:rPr>
          <w:t>Section 29A of the Sale of Land Act</w:t>
        </w:r>
      </w:hyperlink>
      <w:r w:rsidRPr="004943B2">
        <w:rPr>
          <w:rFonts w:asciiTheme="minorHAnsi" w:hAnsiTheme="minorHAnsi"/>
          <w:sz w:val="17"/>
        </w:rPr>
        <w:t xml:space="preserve">   |   </w:t>
      </w:r>
      <w:hyperlink r:id="rId50">
        <w:r w:rsidRPr="00942C14">
          <w:rPr>
            <w:rStyle w:val="Hyperlink"/>
          </w:rPr>
          <w:t>Section 32A of the Sale of Land Act</w:t>
        </w:r>
      </w:hyperlink>
      <w:r w:rsidRPr="004943B2">
        <w:rPr>
          <w:rFonts w:asciiTheme="minorHAnsi" w:hAnsiTheme="minorHAnsi"/>
          <w:sz w:val="17"/>
        </w:rPr>
        <w:t xml:space="preserve">   |   </w:t>
      </w:r>
      <w:hyperlink r:id="rId51">
        <w:r w:rsidRPr="00942C14">
          <w:rPr>
            <w:rStyle w:val="Hyperlink"/>
          </w:rPr>
          <w:t>Schedule 1</w:t>
        </w:r>
      </w:hyperlink>
      <w:r w:rsidRPr="004943B2">
        <w:rPr>
          <w:rFonts w:asciiTheme="minorHAnsi" w:hAnsiTheme="minorHAnsi"/>
          <w:sz w:val="17"/>
        </w:rPr>
        <w:t xml:space="preserve">   |   </w:t>
      </w:r>
      <w:hyperlink r:id="rId52">
        <w:r w:rsidRPr="00942C14">
          <w:rPr>
            <w:rStyle w:val="Hyperlink"/>
          </w:rPr>
          <w:t>Schedule 2</w:t>
        </w:r>
      </w:hyperlink>
    </w:p>
    <w:p w14:paraId="236F41DE" w14:textId="7CFB34A3" w:rsidR="00B84943" w:rsidRPr="004943B2" w:rsidRDefault="00B84943" w:rsidP="00B84943">
      <w:pPr>
        <w:spacing w:before="180" w:after="40"/>
        <w:rPr>
          <w:rFonts w:asciiTheme="minorHAnsi" w:hAnsiTheme="minorHAnsi"/>
          <w:b/>
          <w:color w:val="1F3364"/>
          <w:sz w:val="21"/>
          <w:szCs w:val="21"/>
        </w:rPr>
      </w:pPr>
      <w:r w:rsidRPr="004943B2">
        <w:rPr>
          <w:rFonts w:asciiTheme="minorHAnsi" w:hAnsiTheme="minorHAnsi"/>
          <w:b/>
          <w:color w:val="1F3364"/>
          <w:sz w:val="21"/>
          <w:szCs w:val="21"/>
        </w:rPr>
        <w:t xml:space="preserve">E16  Apportionment of land tax and </w:t>
      </w:r>
      <w:r w:rsidRPr="004943B2">
        <w:rPr>
          <w:rFonts w:asciiTheme="minorHAnsi" w:hAnsiTheme="minorHAnsi"/>
          <w:b/>
          <w:bCs/>
          <w:color w:val="1F3364"/>
          <w:sz w:val="21"/>
          <w:szCs w:val="21"/>
        </w:rPr>
        <w:t>CIPT</w:t>
      </w:r>
    </w:p>
    <w:p w14:paraId="6197671B" w14:textId="02CA18AF" w:rsidR="00471EB2" w:rsidRPr="004943B2" w:rsidRDefault="00B84943" w:rsidP="1A3134AD">
      <w:pPr>
        <w:spacing w:after="40"/>
        <w:rPr>
          <w:rFonts w:asciiTheme="minorHAnsi" w:hAnsiTheme="minorHAnsi"/>
        </w:rPr>
      </w:pPr>
      <w:r w:rsidRPr="004943B2">
        <w:rPr>
          <w:rFonts w:asciiTheme="minorHAnsi" w:hAnsiTheme="minorHAnsi"/>
        </w:rPr>
        <w:t xml:space="preserve">Where the sale price is below the ‘threshold amount’ as defined under section 10I of the Sale of Land Act, contractual apportionment of land tax and CIPT between the vendor and purchaser is prohibited, and a special condition </w:t>
      </w:r>
      <w:r w:rsidR="008441D8" w:rsidRPr="004943B2">
        <w:rPr>
          <w:rFonts w:asciiTheme="minorHAnsi" w:hAnsiTheme="minorHAnsi"/>
        </w:rPr>
        <w:t>in a contract</w:t>
      </w:r>
      <w:r w:rsidRPr="004943B2">
        <w:rPr>
          <w:rFonts w:asciiTheme="minorHAnsi" w:hAnsiTheme="minorHAnsi"/>
        </w:rPr>
        <w:t xml:space="preserve"> purporting to do so is void.  </w:t>
      </w:r>
    </w:p>
    <w:p w14:paraId="7E3EA60E" w14:textId="71562166" w:rsidR="00B84943" w:rsidRPr="004943B2" w:rsidRDefault="00B84943" w:rsidP="00B84943">
      <w:pPr>
        <w:spacing w:after="40"/>
        <w:rPr>
          <w:rFonts w:asciiTheme="minorHAnsi" w:hAnsiTheme="minorHAnsi"/>
        </w:rPr>
      </w:pPr>
      <w:r w:rsidRPr="004943B2">
        <w:rPr>
          <w:rFonts w:asciiTheme="minorHAnsi" w:hAnsiTheme="minorHAnsi"/>
        </w:rPr>
        <w:t xml:space="preserve">Where the sale price is at or above the ‘threshold amount’, apportionment of land tax and CIPT </w:t>
      </w:r>
      <w:proofErr w:type="gramStart"/>
      <w:r w:rsidRPr="004943B2">
        <w:rPr>
          <w:rFonts w:asciiTheme="minorHAnsi" w:hAnsiTheme="minorHAnsi"/>
        </w:rPr>
        <w:t>is</w:t>
      </w:r>
      <w:proofErr w:type="gramEnd"/>
      <w:r w:rsidRPr="004943B2">
        <w:rPr>
          <w:rFonts w:asciiTheme="minorHAnsi" w:hAnsiTheme="minorHAnsi"/>
        </w:rPr>
        <w:t xml:space="preserve"> permitted. In that scenario, practitioners should seek their vendor client’s instructions about the apportionment of land tax and CIPT, and, if necessary, a special condition dealing with such apportionment may need to be inserted into the contract. </w:t>
      </w:r>
    </w:p>
    <w:p w14:paraId="44756112" w14:textId="77777777" w:rsidR="00B84943" w:rsidRPr="004943B2" w:rsidRDefault="00B84943" w:rsidP="00B84943">
      <w:pPr>
        <w:spacing w:before="40" w:after="40"/>
        <w:rPr>
          <w:rFonts w:asciiTheme="minorHAnsi" w:hAnsiTheme="minorHAnsi"/>
        </w:rPr>
      </w:pPr>
      <w:r w:rsidRPr="004943B2">
        <w:rPr>
          <w:rFonts w:asciiTheme="minorHAnsi" w:hAnsiTheme="minorHAnsi"/>
          <w:i/>
          <w:sz w:val="17"/>
        </w:rPr>
        <w:t xml:space="preserve">Further information:  </w:t>
      </w:r>
      <w:hyperlink r:id="rId53">
        <w:r w:rsidRPr="00942C14">
          <w:rPr>
            <w:rStyle w:val="Hyperlink"/>
          </w:rPr>
          <w:t>Section 10G of the Sale of Land Act</w:t>
        </w:r>
      </w:hyperlink>
      <w:r w:rsidRPr="004943B2">
        <w:rPr>
          <w:rFonts w:asciiTheme="minorHAnsi" w:hAnsiTheme="minorHAnsi"/>
          <w:sz w:val="17"/>
        </w:rPr>
        <w:t xml:space="preserve">   |   </w:t>
      </w:r>
      <w:hyperlink r:id="rId54">
        <w:r w:rsidRPr="00942C14">
          <w:rPr>
            <w:rStyle w:val="Hyperlink"/>
          </w:rPr>
          <w:t>Section 10I of the Sale of Land Act</w:t>
        </w:r>
      </w:hyperlink>
      <w:r w:rsidRPr="004943B2">
        <w:rPr>
          <w:rFonts w:asciiTheme="minorHAnsi" w:hAnsiTheme="minorHAnsi"/>
          <w:sz w:val="17"/>
        </w:rPr>
        <w:t xml:space="preserve">   |   </w:t>
      </w:r>
      <w:hyperlink r:id="rId55">
        <w:r w:rsidRPr="00942C14">
          <w:rPr>
            <w:rStyle w:val="Hyperlink"/>
          </w:rPr>
          <w:t>Commercial and Industrial Property Tax Reform Act 2024 (Vic)</w:t>
        </w:r>
      </w:hyperlink>
      <w:r w:rsidRPr="004943B2">
        <w:rPr>
          <w:rFonts w:asciiTheme="minorHAnsi" w:hAnsiTheme="minorHAnsi"/>
          <w:sz w:val="17"/>
        </w:rPr>
        <w:t xml:space="preserve">   |   </w:t>
      </w:r>
      <w:hyperlink r:id="rId56">
        <w:r w:rsidRPr="00942C14">
          <w:rPr>
            <w:rStyle w:val="Hyperlink"/>
          </w:rPr>
          <w:t>Consumer Affairs Victoria: conveyancing and contracts for sellers</w:t>
        </w:r>
      </w:hyperlink>
    </w:p>
    <w:p w14:paraId="6619BE49" w14:textId="47D3CE38" w:rsidR="00B84943" w:rsidRPr="004943B2" w:rsidRDefault="00B84943" w:rsidP="00B84943">
      <w:pPr>
        <w:spacing w:before="180" w:after="40"/>
        <w:rPr>
          <w:rFonts w:asciiTheme="minorHAnsi" w:hAnsiTheme="minorHAnsi"/>
          <w:b/>
          <w:color w:val="1F3364"/>
          <w:sz w:val="21"/>
          <w:szCs w:val="21"/>
        </w:rPr>
      </w:pPr>
      <w:r w:rsidRPr="004943B2">
        <w:rPr>
          <w:rFonts w:asciiTheme="minorHAnsi" w:hAnsiTheme="minorHAnsi"/>
          <w:b/>
          <w:bCs/>
          <w:color w:val="1F3364"/>
          <w:sz w:val="21"/>
          <w:szCs w:val="21"/>
        </w:rPr>
        <w:t>E17  WGT</w:t>
      </w:r>
    </w:p>
    <w:p w14:paraId="04A5F30E" w14:textId="36459E13" w:rsidR="00B84943" w:rsidRPr="004943B2" w:rsidRDefault="00B84943" w:rsidP="00B84943">
      <w:pPr>
        <w:spacing w:after="40"/>
        <w:rPr>
          <w:rFonts w:asciiTheme="minorHAnsi" w:hAnsiTheme="minorHAnsi"/>
        </w:rPr>
      </w:pPr>
      <w:r w:rsidRPr="004943B2">
        <w:rPr>
          <w:rFonts w:asciiTheme="minorHAnsi" w:hAnsiTheme="minorHAnsi"/>
        </w:rPr>
        <w:t xml:space="preserve">Where there is an existing </w:t>
      </w:r>
      <w:proofErr w:type="gramStart"/>
      <w:r w:rsidRPr="004943B2">
        <w:rPr>
          <w:rFonts w:asciiTheme="minorHAnsi" w:hAnsiTheme="minorHAnsi"/>
        </w:rPr>
        <w:t>windfall</w:t>
      </w:r>
      <w:proofErr w:type="gramEnd"/>
      <w:r w:rsidRPr="004943B2">
        <w:rPr>
          <w:rFonts w:asciiTheme="minorHAnsi" w:hAnsiTheme="minorHAnsi"/>
        </w:rPr>
        <w:t xml:space="preserve"> gains tax liability in respect of the land before the day of sale, passing on the WGT liability to the purchaser is prohibited. Where rezoning after the day of sale is a possibility, practitioners should consider the implications </w:t>
      </w:r>
      <w:proofErr w:type="gramStart"/>
      <w:r w:rsidRPr="004943B2">
        <w:rPr>
          <w:rFonts w:asciiTheme="minorHAnsi" w:hAnsiTheme="minorHAnsi"/>
        </w:rPr>
        <w:t>to</w:t>
      </w:r>
      <w:proofErr w:type="gramEnd"/>
      <w:r w:rsidRPr="004943B2">
        <w:rPr>
          <w:rFonts w:asciiTheme="minorHAnsi" w:hAnsiTheme="minorHAnsi"/>
        </w:rPr>
        <w:t xml:space="preserve"> their </w:t>
      </w:r>
      <w:proofErr w:type="gramStart"/>
      <w:r w:rsidRPr="004943B2">
        <w:rPr>
          <w:rFonts w:asciiTheme="minorHAnsi" w:hAnsiTheme="minorHAnsi"/>
        </w:rPr>
        <w:t>client, and</w:t>
      </w:r>
      <w:proofErr w:type="gramEnd"/>
      <w:r w:rsidRPr="004943B2">
        <w:rPr>
          <w:rFonts w:asciiTheme="minorHAnsi" w:hAnsiTheme="minorHAnsi"/>
        </w:rPr>
        <w:t xml:space="preserve"> seek instructions from the vendor client </w:t>
      </w:r>
      <w:r w:rsidR="00DD1443" w:rsidRPr="004943B2">
        <w:rPr>
          <w:rFonts w:asciiTheme="minorHAnsi" w:hAnsiTheme="minorHAnsi"/>
        </w:rPr>
        <w:t xml:space="preserve">about </w:t>
      </w:r>
      <w:r w:rsidRPr="004943B2">
        <w:rPr>
          <w:rFonts w:asciiTheme="minorHAnsi" w:hAnsiTheme="minorHAnsi"/>
        </w:rPr>
        <w:t xml:space="preserve">whether the contract should contain a special condition dealing with a potential WGT liability. For example, a special condition that requires the purchaser to indemnify the vendor for part or </w:t>
      </w:r>
      <w:proofErr w:type="gramStart"/>
      <w:r w:rsidRPr="004943B2">
        <w:rPr>
          <w:rFonts w:asciiTheme="minorHAnsi" w:hAnsiTheme="minorHAnsi"/>
        </w:rPr>
        <w:t>all of</w:t>
      </w:r>
      <w:proofErr w:type="gramEnd"/>
      <w:r w:rsidRPr="004943B2">
        <w:rPr>
          <w:rFonts w:asciiTheme="minorHAnsi" w:hAnsiTheme="minorHAnsi"/>
        </w:rPr>
        <w:t xml:space="preserve"> any future WGT liability that may </w:t>
      </w:r>
      <w:proofErr w:type="spellStart"/>
      <w:r w:rsidRPr="004943B2">
        <w:rPr>
          <w:rFonts w:asciiTheme="minorHAnsi" w:hAnsiTheme="minorHAnsi"/>
        </w:rPr>
        <w:t>crystallise</w:t>
      </w:r>
      <w:proofErr w:type="spellEnd"/>
      <w:r w:rsidRPr="004943B2">
        <w:rPr>
          <w:rFonts w:asciiTheme="minorHAnsi" w:hAnsiTheme="minorHAnsi"/>
        </w:rPr>
        <w:t xml:space="preserve"> after the day of sale</w:t>
      </w:r>
      <w:r w:rsidR="005350A7" w:rsidRPr="004943B2">
        <w:rPr>
          <w:rFonts w:asciiTheme="minorHAnsi" w:hAnsiTheme="minorHAnsi"/>
        </w:rPr>
        <w:t xml:space="preserve"> under the contract</w:t>
      </w:r>
      <w:r w:rsidRPr="004943B2">
        <w:rPr>
          <w:rFonts w:asciiTheme="minorHAnsi" w:hAnsiTheme="minorHAnsi"/>
        </w:rPr>
        <w:t xml:space="preserve">. </w:t>
      </w:r>
    </w:p>
    <w:p w14:paraId="6D6A0F37" w14:textId="05720E86" w:rsidR="00B84943" w:rsidRPr="004943B2" w:rsidRDefault="00B84943" w:rsidP="00B84943">
      <w:pPr>
        <w:spacing w:before="40" w:after="40"/>
        <w:rPr>
          <w:rFonts w:asciiTheme="minorHAnsi" w:hAnsiTheme="minorHAnsi"/>
        </w:rPr>
      </w:pPr>
      <w:r w:rsidRPr="004943B2">
        <w:rPr>
          <w:rFonts w:asciiTheme="minorHAnsi" w:hAnsiTheme="minorHAnsi"/>
          <w:i/>
          <w:sz w:val="17"/>
        </w:rPr>
        <w:t xml:space="preserve">Further information:  </w:t>
      </w:r>
      <w:hyperlink r:id="rId57">
        <w:r w:rsidRPr="00942C14">
          <w:rPr>
            <w:rStyle w:val="Hyperlink"/>
          </w:rPr>
          <w:t>Section 10H of the Sale of Land Act</w:t>
        </w:r>
      </w:hyperlink>
      <w:r w:rsidRPr="004943B2">
        <w:rPr>
          <w:rFonts w:asciiTheme="minorHAnsi" w:hAnsiTheme="minorHAnsi"/>
          <w:sz w:val="17"/>
        </w:rPr>
        <w:t xml:space="preserve">  </w:t>
      </w:r>
    </w:p>
    <w:p w14:paraId="18D6947D"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E18  Water entitlements</w:t>
      </w:r>
    </w:p>
    <w:p w14:paraId="358E08E6" w14:textId="3409423A" w:rsidR="00944FE2" w:rsidRPr="004943B2" w:rsidRDefault="00B84943" w:rsidP="1A3134AD">
      <w:pPr>
        <w:spacing w:after="40"/>
        <w:rPr>
          <w:rFonts w:asciiTheme="minorHAnsi" w:hAnsiTheme="minorHAnsi"/>
        </w:rPr>
      </w:pPr>
      <w:r w:rsidRPr="004943B2">
        <w:rPr>
          <w:rFonts w:asciiTheme="minorHAnsi" w:hAnsiTheme="minorHAnsi"/>
        </w:rPr>
        <w:t xml:space="preserve">Water entitlements that can be traded separately from the land do not </w:t>
      </w:r>
      <w:r w:rsidR="004F53CC" w:rsidRPr="004943B2">
        <w:rPr>
          <w:rFonts w:asciiTheme="minorHAnsi" w:hAnsiTheme="minorHAnsi"/>
        </w:rPr>
        <w:t>automatically run</w:t>
      </w:r>
      <w:r w:rsidRPr="004943B2">
        <w:rPr>
          <w:rFonts w:asciiTheme="minorHAnsi" w:hAnsiTheme="minorHAnsi"/>
        </w:rPr>
        <w:t xml:space="preserve"> with the land. If the vendor intends that the </w:t>
      </w:r>
      <w:proofErr w:type="gramStart"/>
      <w:r w:rsidR="00FC0D16" w:rsidRPr="004943B2">
        <w:rPr>
          <w:rFonts w:asciiTheme="minorHAnsi" w:hAnsiTheme="minorHAnsi"/>
        </w:rPr>
        <w:t>separately</w:t>
      </w:r>
      <w:proofErr w:type="gramEnd"/>
      <w:r w:rsidR="00FC0D16" w:rsidRPr="004943B2">
        <w:rPr>
          <w:rFonts w:asciiTheme="minorHAnsi" w:hAnsiTheme="minorHAnsi"/>
        </w:rPr>
        <w:t xml:space="preserve"> tradable</w:t>
      </w:r>
      <w:r w:rsidRPr="004943B2">
        <w:rPr>
          <w:rFonts w:asciiTheme="minorHAnsi" w:hAnsiTheme="minorHAnsi"/>
        </w:rPr>
        <w:t xml:space="preserve"> water entitlements are sold with the land, then the contract needs a special condition dealing with them.</w:t>
      </w:r>
    </w:p>
    <w:p w14:paraId="7B0B3B46" w14:textId="1534AFE6" w:rsidR="00B84943" w:rsidRPr="004943B2" w:rsidRDefault="00944FE2" w:rsidP="00B84943">
      <w:pPr>
        <w:spacing w:after="40"/>
        <w:rPr>
          <w:rFonts w:asciiTheme="minorHAnsi" w:hAnsiTheme="minorHAnsi"/>
        </w:rPr>
      </w:pPr>
      <w:r w:rsidRPr="004943B2">
        <w:rPr>
          <w:rFonts w:asciiTheme="minorHAnsi" w:hAnsiTheme="minorHAnsi"/>
        </w:rPr>
        <w:t>Conversely, if the separately tradable water entitlements are being retained by the vendor and not sold with the land, it may be prudent to insert a special condition in the contract, making that clear to the purchaser.</w:t>
      </w:r>
    </w:p>
    <w:p w14:paraId="78EDF1A6"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E19  Material facts</w:t>
      </w:r>
    </w:p>
    <w:p w14:paraId="37789D08" w14:textId="0BE28C42" w:rsidR="003604DC" w:rsidRPr="004943B2" w:rsidRDefault="00B84943" w:rsidP="1A3134AD">
      <w:pPr>
        <w:spacing w:after="40"/>
        <w:rPr>
          <w:rFonts w:asciiTheme="minorHAnsi" w:hAnsiTheme="minorHAnsi"/>
        </w:rPr>
      </w:pPr>
      <w:r w:rsidRPr="004943B2">
        <w:rPr>
          <w:rFonts w:asciiTheme="minorHAnsi" w:hAnsiTheme="minorHAnsi"/>
        </w:rPr>
        <w:t xml:space="preserve">Section 12(d) of the Sale of Land Act prohibits a vendor from knowingly concealing a material fact with the intention of inducing the purchaser to buy. There is limited case law on what is a material fact. However, the Material Fact </w:t>
      </w:r>
      <w:r w:rsidRPr="004943B2">
        <w:rPr>
          <w:rFonts w:asciiTheme="minorHAnsi" w:hAnsiTheme="minorHAnsi"/>
        </w:rPr>
        <w:lastRenderedPageBreak/>
        <w:t>Guideline from Consumer Affairs Victoria may provide some assistance identifying facts or circumstances that could be considered as material facts.</w:t>
      </w:r>
    </w:p>
    <w:p w14:paraId="5B5C6C02" w14:textId="2F86DEEE" w:rsidR="00B84943" w:rsidRPr="004943B2" w:rsidRDefault="003604DC" w:rsidP="00B84943">
      <w:pPr>
        <w:spacing w:after="40"/>
        <w:rPr>
          <w:rFonts w:asciiTheme="minorHAnsi" w:hAnsiTheme="minorHAnsi"/>
        </w:rPr>
      </w:pPr>
      <w:r w:rsidRPr="004943B2">
        <w:rPr>
          <w:rFonts w:asciiTheme="minorHAnsi" w:hAnsiTheme="minorHAnsi"/>
        </w:rPr>
        <w:t xml:space="preserve">Where the vendor discloses a fact or circumstance that could be considered a material fact, practitioners should provide the client with written advice about whether the facts or circumstances could be considered </w:t>
      </w:r>
      <w:r w:rsidR="005A10C4" w:rsidRPr="004943B2">
        <w:rPr>
          <w:rFonts w:asciiTheme="minorHAnsi" w:hAnsiTheme="minorHAnsi"/>
        </w:rPr>
        <w:t xml:space="preserve">as </w:t>
      </w:r>
      <w:r w:rsidRPr="004943B2">
        <w:rPr>
          <w:rFonts w:asciiTheme="minorHAnsi" w:hAnsiTheme="minorHAnsi"/>
        </w:rPr>
        <w:t xml:space="preserve">material facts, and subject to the client’s instructions, include a material fact disclosure in either the contract or section 32 statement.  </w:t>
      </w:r>
    </w:p>
    <w:p w14:paraId="03A86890" w14:textId="77777777" w:rsidR="00B84943" w:rsidRPr="004943B2" w:rsidRDefault="00B84943" w:rsidP="00B84943">
      <w:pPr>
        <w:spacing w:before="40" w:after="40"/>
        <w:rPr>
          <w:rFonts w:asciiTheme="minorHAnsi" w:hAnsiTheme="minorHAnsi"/>
        </w:rPr>
      </w:pPr>
      <w:r w:rsidRPr="004943B2">
        <w:rPr>
          <w:rFonts w:asciiTheme="minorHAnsi" w:hAnsiTheme="minorHAnsi"/>
          <w:i/>
          <w:sz w:val="17"/>
        </w:rPr>
        <w:t xml:space="preserve">Further information:  </w:t>
      </w:r>
      <w:hyperlink r:id="rId58">
        <w:r w:rsidRPr="00942C14">
          <w:rPr>
            <w:rStyle w:val="Hyperlink"/>
          </w:rPr>
          <w:t>Section 12(d) of the Sale of Land Act</w:t>
        </w:r>
      </w:hyperlink>
      <w:r w:rsidRPr="004943B2">
        <w:rPr>
          <w:rFonts w:asciiTheme="minorHAnsi" w:hAnsiTheme="minorHAnsi"/>
          <w:sz w:val="17"/>
        </w:rPr>
        <w:t xml:space="preserve">   |   </w:t>
      </w:r>
      <w:hyperlink r:id="rId59">
        <w:r w:rsidRPr="00942C14">
          <w:rPr>
            <w:rStyle w:val="Hyperlink"/>
          </w:rPr>
          <w:t>Preparing to sell your property: Consumer Affairs Victoria</w:t>
        </w:r>
      </w:hyperlink>
      <w:r w:rsidRPr="004943B2">
        <w:rPr>
          <w:rFonts w:asciiTheme="minorHAnsi" w:hAnsiTheme="minorHAnsi"/>
          <w:sz w:val="17"/>
        </w:rPr>
        <w:t xml:space="preserve">   |   </w:t>
      </w:r>
      <w:hyperlink r:id="rId60">
        <w:r w:rsidRPr="00942C14">
          <w:rPr>
            <w:rStyle w:val="Hyperlink"/>
          </w:rPr>
          <w:t>Nota &amp; Anor v Karlovy Group Pty Ltd &amp; Anor [2025] VCC 1132</w:t>
        </w:r>
      </w:hyperlink>
    </w:p>
    <w:p w14:paraId="6EC01C00"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E20  Off the plan and unregistered subdivisions</w:t>
      </w:r>
    </w:p>
    <w:p w14:paraId="7797D1A7" w14:textId="170A360A" w:rsidR="00C33B29" w:rsidRPr="004943B2" w:rsidRDefault="00B84943" w:rsidP="1A3134AD">
      <w:pPr>
        <w:spacing w:after="40"/>
        <w:rPr>
          <w:rFonts w:asciiTheme="minorHAnsi" w:hAnsiTheme="minorHAnsi"/>
        </w:rPr>
      </w:pPr>
      <w:proofErr w:type="gramStart"/>
      <w:r w:rsidRPr="004943B2">
        <w:rPr>
          <w:rFonts w:asciiTheme="minorHAnsi" w:hAnsiTheme="minorHAnsi"/>
        </w:rPr>
        <w:t>Off</w:t>
      </w:r>
      <w:proofErr w:type="gramEnd"/>
      <w:r w:rsidRPr="004943B2">
        <w:rPr>
          <w:rFonts w:asciiTheme="minorHAnsi" w:hAnsiTheme="minorHAnsi"/>
        </w:rPr>
        <w:t xml:space="preserve"> the plan sales carry disclosure obligations that go beyond a normal sale</w:t>
      </w:r>
      <w:r w:rsidR="005A10C4" w:rsidRPr="004943B2">
        <w:rPr>
          <w:rFonts w:asciiTheme="minorHAnsi" w:hAnsiTheme="minorHAnsi"/>
        </w:rPr>
        <w:t>. For example</w:t>
      </w:r>
      <w:r w:rsidRPr="004943B2">
        <w:rPr>
          <w:rFonts w:asciiTheme="minorHAnsi" w:hAnsiTheme="minorHAnsi"/>
        </w:rPr>
        <w:t>, covering the particulars of the unregistered plan, works affecting the natural surface level of the lot or abutting land, restrictions that will appear in the plan of subdivision or transfer of land instrument once registered.</w:t>
      </w:r>
    </w:p>
    <w:p w14:paraId="3B7F6DF1" w14:textId="3F31D76A" w:rsidR="00F45AA5" w:rsidRPr="004943B2" w:rsidRDefault="000A5948" w:rsidP="1A3134AD">
      <w:pPr>
        <w:spacing w:after="40"/>
        <w:rPr>
          <w:rFonts w:asciiTheme="minorHAnsi" w:hAnsiTheme="minorHAnsi"/>
        </w:rPr>
      </w:pPr>
      <w:r w:rsidRPr="004943B2">
        <w:rPr>
          <w:rFonts w:asciiTheme="minorHAnsi" w:hAnsiTheme="minorHAnsi"/>
        </w:rPr>
        <w:t>In addition to section 32I of the Sale of Land Act, key obligations</w:t>
      </w:r>
      <w:r w:rsidR="006A5A93" w:rsidRPr="004943B2">
        <w:rPr>
          <w:rFonts w:asciiTheme="minorHAnsi" w:hAnsiTheme="minorHAnsi"/>
        </w:rPr>
        <w:t xml:space="preserve"> for</w:t>
      </w:r>
      <w:r w:rsidRPr="004943B2">
        <w:rPr>
          <w:rFonts w:asciiTheme="minorHAnsi" w:hAnsiTheme="minorHAnsi"/>
        </w:rPr>
        <w:t xml:space="preserve"> </w:t>
      </w:r>
      <w:proofErr w:type="gramStart"/>
      <w:r w:rsidR="00444397" w:rsidRPr="004943B2">
        <w:rPr>
          <w:rFonts w:asciiTheme="minorHAnsi" w:hAnsiTheme="minorHAnsi"/>
        </w:rPr>
        <w:t>off the plan</w:t>
      </w:r>
      <w:proofErr w:type="gramEnd"/>
      <w:r w:rsidR="00444397" w:rsidRPr="004943B2">
        <w:rPr>
          <w:rFonts w:asciiTheme="minorHAnsi" w:hAnsiTheme="minorHAnsi"/>
        </w:rPr>
        <w:t xml:space="preserve"> obligations </w:t>
      </w:r>
      <w:r w:rsidRPr="004943B2">
        <w:rPr>
          <w:rFonts w:asciiTheme="minorHAnsi" w:hAnsiTheme="minorHAnsi"/>
        </w:rPr>
        <w:t>are found in sections 8 through to 10 inclusive of the Sale of Land Act. Depending on the applicable section, a failure of the vendor to comply can provide the purchaser with a contract termination right.</w:t>
      </w:r>
    </w:p>
    <w:p w14:paraId="55D7D178" w14:textId="5C56CC49" w:rsidR="001A5093" w:rsidRPr="004943B2" w:rsidRDefault="00520E07" w:rsidP="1A3134AD">
      <w:pPr>
        <w:spacing w:after="40"/>
        <w:rPr>
          <w:rFonts w:asciiTheme="minorHAnsi" w:hAnsiTheme="minorHAnsi"/>
        </w:rPr>
      </w:pPr>
      <w:r w:rsidRPr="004943B2">
        <w:rPr>
          <w:rFonts w:asciiTheme="minorHAnsi" w:hAnsiTheme="minorHAnsi"/>
        </w:rPr>
        <w:t xml:space="preserve">Off the plan sales can </w:t>
      </w:r>
      <w:r w:rsidR="00932BAC" w:rsidRPr="004943B2">
        <w:rPr>
          <w:rFonts w:asciiTheme="minorHAnsi" w:hAnsiTheme="minorHAnsi"/>
        </w:rPr>
        <w:t>give rise to</w:t>
      </w:r>
      <w:r w:rsidRPr="004943B2">
        <w:rPr>
          <w:rFonts w:asciiTheme="minorHAnsi" w:hAnsiTheme="minorHAnsi"/>
        </w:rPr>
        <w:t xml:space="preserve"> further complexity, where a building is to be completed. </w:t>
      </w:r>
      <w:r w:rsidR="00DB762B" w:rsidRPr="004943B2">
        <w:rPr>
          <w:rFonts w:asciiTheme="minorHAnsi" w:hAnsiTheme="minorHAnsi"/>
        </w:rPr>
        <w:t>S</w:t>
      </w:r>
      <w:r w:rsidRPr="004943B2">
        <w:rPr>
          <w:rFonts w:asciiTheme="minorHAnsi" w:hAnsiTheme="minorHAnsi"/>
        </w:rPr>
        <w:t xml:space="preserve">pecial conditions </w:t>
      </w:r>
      <w:r w:rsidR="00F27F10" w:rsidRPr="004943B2">
        <w:rPr>
          <w:rFonts w:asciiTheme="minorHAnsi" w:hAnsiTheme="minorHAnsi"/>
        </w:rPr>
        <w:t xml:space="preserve">need to sufficiently </w:t>
      </w:r>
      <w:r w:rsidRPr="004943B2">
        <w:rPr>
          <w:rFonts w:asciiTheme="minorHAnsi" w:hAnsiTheme="minorHAnsi"/>
        </w:rPr>
        <w:t>dea</w:t>
      </w:r>
      <w:r w:rsidR="00F27F10" w:rsidRPr="004943B2">
        <w:rPr>
          <w:rFonts w:asciiTheme="minorHAnsi" w:hAnsiTheme="minorHAnsi"/>
        </w:rPr>
        <w:t>l</w:t>
      </w:r>
      <w:r w:rsidRPr="004943B2">
        <w:rPr>
          <w:rFonts w:asciiTheme="minorHAnsi" w:hAnsiTheme="minorHAnsi"/>
        </w:rPr>
        <w:t xml:space="preserve"> with the construction element, </w:t>
      </w:r>
      <w:r w:rsidR="00F27F10" w:rsidRPr="004943B2">
        <w:rPr>
          <w:rFonts w:asciiTheme="minorHAnsi" w:hAnsiTheme="minorHAnsi"/>
        </w:rPr>
        <w:t>and care must be taken to ensure that the</w:t>
      </w:r>
      <w:r w:rsidRPr="004943B2">
        <w:rPr>
          <w:rFonts w:asciiTheme="minorHAnsi" w:hAnsiTheme="minorHAnsi"/>
        </w:rPr>
        <w:t xml:space="preserve"> building particulars, diagrams and blueprints </w:t>
      </w:r>
      <w:r w:rsidR="00F27F10" w:rsidRPr="004943B2">
        <w:rPr>
          <w:rFonts w:asciiTheme="minorHAnsi" w:hAnsiTheme="minorHAnsi"/>
        </w:rPr>
        <w:t>are correctly disclosed</w:t>
      </w:r>
      <w:r w:rsidRPr="004943B2">
        <w:rPr>
          <w:rFonts w:asciiTheme="minorHAnsi" w:hAnsiTheme="minorHAnsi"/>
        </w:rPr>
        <w:t xml:space="preserve"> in the contract </w:t>
      </w:r>
      <w:r w:rsidR="00F27F10" w:rsidRPr="004943B2">
        <w:rPr>
          <w:rFonts w:asciiTheme="minorHAnsi" w:hAnsiTheme="minorHAnsi"/>
        </w:rPr>
        <w:t xml:space="preserve">and annexed to </w:t>
      </w:r>
      <w:proofErr w:type="gramStart"/>
      <w:r w:rsidR="00F27F10" w:rsidRPr="004943B2">
        <w:rPr>
          <w:rFonts w:asciiTheme="minorHAnsi" w:hAnsiTheme="minorHAnsi"/>
        </w:rPr>
        <w:t>the</w:t>
      </w:r>
      <w:r w:rsidRPr="004943B2">
        <w:rPr>
          <w:rFonts w:asciiTheme="minorHAnsi" w:hAnsiTheme="minorHAnsi"/>
        </w:rPr>
        <w:t xml:space="preserve"> section</w:t>
      </w:r>
      <w:proofErr w:type="gramEnd"/>
      <w:r w:rsidRPr="004943B2">
        <w:rPr>
          <w:rFonts w:asciiTheme="minorHAnsi" w:hAnsiTheme="minorHAnsi"/>
        </w:rPr>
        <w:t xml:space="preserve"> 32 statement.</w:t>
      </w:r>
    </w:p>
    <w:p w14:paraId="5AFF14F9" w14:textId="728ED7A9" w:rsidR="00B84943" w:rsidRPr="004943B2" w:rsidRDefault="001A5093" w:rsidP="00B84943">
      <w:pPr>
        <w:spacing w:after="40"/>
        <w:rPr>
          <w:rFonts w:asciiTheme="minorHAnsi" w:hAnsiTheme="minorHAnsi"/>
        </w:rPr>
      </w:pPr>
      <w:r w:rsidRPr="004943B2">
        <w:rPr>
          <w:rFonts w:asciiTheme="minorHAnsi" w:hAnsiTheme="minorHAnsi"/>
        </w:rPr>
        <w:t xml:space="preserve">Depending on the complexity of the off the plan sale, practitioners should consider using the additional </w:t>
      </w:r>
      <w:r w:rsidR="0044277E" w:rsidRPr="004943B2">
        <w:rPr>
          <w:rFonts w:asciiTheme="minorHAnsi" w:hAnsiTheme="minorHAnsi"/>
        </w:rPr>
        <w:t xml:space="preserve">contract provisions for the sale of property </w:t>
      </w:r>
      <w:r w:rsidRPr="004943B2">
        <w:rPr>
          <w:rFonts w:asciiTheme="minorHAnsi" w:hAnsiTheme="minorHAnsi"/>
        </w:rPr>
        <w:t xml:space="preserve">off the plan </w:t>
      </w:r>
      <w:r w:rsidR="0044277E" w:rsidRPr="004943B2">
        <w:rPr>
          <w:rFonts w:asciiTheme="minorHAnsi" w:hAnsiTheme="minorHAnsi"/>
        </w:rPr>
        <w:t>,</w:t>
      </w:r>
      <w:r w:rsidRPr="004943B2">
        <w:rPr>
          <w:rFonts w:asciiTheme="minorHAnsi" w:hAnsiTheme="minorHAnsi"/>
        </w:rPr>
        <w:t xml:space="preserve">created by the LIV, which can be obtained from </w:t>
      </w:r>
      <w:proofErr w:type="spellStart"/>
      <w:r w:rsidRPr="004943B2">
        <w:rPr>
          <w:rFonts w:asciiTheme="minorHAnsi" w:hAnsiTheme="minorHAnsi"/>
        </w:rPr>
        <w:t>Elawforms</w:t>
      </w:r>
      <w:proofErr w:type="spellEnd"/>
      <w:r w:rsidRPr="004943B2">
        <w:rPr>
          <w:rFonts w:asciiTheme="minorHAnsi" w:hAnsiTheme="minorHAnsi"/>
        </w:rPr>
        <w:t>.</w:t>
      </w:r>
    </w:p>
    <w:p w14:paraId="06D480BB" w14:textId="1E3CAF2F" w:rsidR="00B84943" w:rsidRPr="004943B2" w:rsidRDefault="00B84943" w:rsidP="00B84943">
      <w:pPr>
        <w:spacing w:before="40" w:after="40"/>
        <w:rPr>
          <w:rFonts w:asciiTheme="minorHAnsi" w:hAnsiTheme="minorHAnsi"/>
        </w:rPr>
      </w:pPr>
      <w:r w:rsidRPr="004943B2">
        <w:rPr>
          <w:rFonts w:asciiTheme="minorHAnsi" w:hAnsiTheme="minorHAnsi"/>
          <w:i/>
          <w:sz w:val="17"/>
          <w:szCs w:val="17"/>
        </w:rPr>
        <w:t xml:space="preserve">Further information:  </w:t>
      </w:r>
      <w:hyperlink r:id="rId61">
        <w:r w:rsidRPr="00942C14">
          <w:rPr>
            <w:rStyle w:val="Hyperlink"/>
          </w:rPr>
          <w:t>Section 32I of the Sale of Land Act</w:t>
        </w:r>
      </w:hyperlink>
      <w:r w:rsidRPr="004943B2">
        <w:rPr>
          <w:rFonts w:asciiTheme="minorHAnsi" w:hAnsiTheme="minorHAnsi"/>
          <w:sz w:val="17"/>
          <w:szCs w:val="17"/>
        </w:rPr>
        <w:t xml:space="preserve">   |   </w:t>
      </w:r>
      <w:hyperlink r:id="rId62" w:history="1">
        <w:proofErr w:type="spellStart"/>
        <w:r w:rsidRPr="004943B2">
          <w:rPr>
            <w:rStyle w:val="Hyperlink"/>
            <w:szCs w:val="17"/>
          </w:rPr>
          <w:t>Elawforms</w:t>
        </w:r>
        <w:proofErr w:type="spellEnd"/>
      </w:hyperlink>
    </w:p>
    <w:p w14:paraId="215B4B78"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E21  Sunset dates</w:t>
      </w:r>
    </w:p>
    <w:p w14:paraId="466B03A6" w14:textId="6BC2A400" w:rsidR="00B84943" w:rsidRPr="004943B2" w:rsidRDefault="00B84943" w:rsidP="00B84943">
      <w:pPr>
        <w:spacing w:after="40"/>
        <w:rPr>
          <w:rFonts w:asciiTheme="minorHAnsi" w:hAnsiTheme="minorHAnsi"/>
        </w:rPr>
      </w:pPr>
      <w:r w:rsidRPr="004943B2">
        <w:rPr>
          <w:rFonts w:asciiTheme="minorHAnsi" w:hAnsiTheme="minorHAnsi"/>
        </w:rPr>
        <w:t xml:space="preserve">For a residential off the plan contract, the sunset clause must comply with sections 10A, 10B, 10E and 10F of the Sale of Land Act. </w:t>
      </w:r>
    </w:p>
    <w:p w14:paraId="1277D4F8" w14:textId="561D1A69" w:rsidR="00B84943" w:rsidRPr="004943B2" w:rsidRDefault="00B84943" w:rsidP="00B84943">
      <w:pPr>
        <w:spacing w:before="40" w:after="40"/>
        <w:rPr>
          <w:rFonts w:asciiTheme="minorHAnsi" w:hAnsiTheme="minorHAnsi"/>
        </w:rPr>
      </w:pPr>
      <w:r w:rsidRPr="004943B2">
        <w:rPr>
          <w:rFonts w:asciiTheme="minorHAnsi" w:hAnsiTheme="minorHAnsi"/>
          <w:i/>
          <w:sz w:val="17"/>
          <w:szCs w:val="17"/>
        </w:rPr>
        <w:t xml:space="preserve">Further information:  </w:t>
      </w:r>
      <w:hyperlink r:id="rId63">
        <w:r w:rsidRPr="00942C14">
          <w:rPr>
            <w:rStyle w:val="Hyperlink"/>
          </w:rPr>
          <w:t>Section 10A of the Sale of Land Act</w:t>
        </w:r>
      </w:hyperlink>
      <w:r w:rsidRPr="004943B2">
        <w:rPr>
          <w:rFonts w:asciiTheme="minorHAnsi" w:hAnsiTheme="minorHAnsi"/>
          <w:sz w:val="17"/>
          <w:szCs w:val="17"/>
        </w:rPr>
        <w:t xml:space="preserve">   |   </w:t>
      </w:r>
      <w:hyperlink r:id="rId64" w:history="1">
        <w:r w:rsidRPr="004943B2">
          <w:rPr>
            <w:rStyle w:val="Hyperlink"/>
            <w:szCs w:val="17"/>
          </w:rPr>
          <w:t>Section 10B of the Sale of Land Act</w:t>
        </w:r>
      </w:hyperlink>
      <w:r w:rsidRPr="004943B2">
        <w:rPr>
          <w:rFonts w:asciiTheme="minorHAnsi" w:hAnsiTheme="minorHAnsi"/>
          <w:sz w:val="17"/>
          <w:szCs w:val="17"/>
        </w:rPr>
        <w:t xml:space="preserve">   |   </w:t>
      </w:r>
      <w:hyperlink r:id="rId65" w:history="1">
        <w:r w:rsidRPr="004943B2">
          <w:rPr>
            <w:rStyle w:val="Hyperlink"/>
            <w:szCs w:val="17"/>
          </w:rPr>
          <w:t>Section 10C of the Sale of Land Act</w:t>
        </w:r>
      </w:hyperlink>
      <w:r w:rsidRPr="004943B2">
        <w:rPr>
          <w:rFonts w:asciiTheme="minorHAnsi" w:hAnsiTheme="minorHAnsi"/>
          <w:sz w:val="17"/>
          <w:szCs w:val="17"/>
        </w:rPr>
        <w:t xml:space="preserve">   |   </w:t>
      </w:r>
      <w:hyperlink r:id="rId66" w:history="1">
        <w:r w:rsidRPr="004943B2">
          <w:rPr>
            <w:rStyle w:val="Hyperlink"/>
            <w:szCs w:val="17"/>
          </w:rPr>
          <w:t>Section 10E of the Sale of Land Act</w:t>
        </w:r>
      </w:hyperlink>
      <w:r w:rsidRPr="004943B2">
        <w:rPr>
          <w:rFonts w:asciiTheme="minorHAnsi" w:hAnsiTheme="minorHAnsi"/>
          <w:sz w:val="17"/>
          <w:szCs w:val="17"/>
        </w:rPr>
        <w:t xml:space="preserve">  |   </w:t>
      </w:r>
      <w:hyperlink r:id="rId67" w:history="1">
        <w:r w:rsidRPr="004943B2">
          <w:rPr>
            <w:rStyle w:val="Hyperlink"/>
            <w:szCs w:val="17"/>
          </w:rPr>
          <w:t>Section 10F of the Sale of Land Act</w:t>
        </w:r>
      </w:hyperlink>
    </w:p>
    <w:p w14:paraId="1A31E385"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E22  Due diligence checklist</w:t>
      </w:r>
    </w:p>
    <w:p w14:paraId="06F22C5A" w14:textId="251A764F" w:rsidR="00B84943" w:rsidRPr="004943B2" w:rsidRDefault="00B84943" w:rsidP="00B84943">
      <w:pPr>
        <w:spacing w:after="40"/>
        <w:rPr>
          <w:rFonts w:asciiTheme="minorHAnsi" w:hAnsiTheme="minorHAnsi"/>
        </w:rPr>
      </w:pPr>
      <w:r w:rsidRPr="004943B2">
        <w:rPr>
          <w:rFonts w:asciiTheme="minorHAnsi" w:hAnsiTheme="minorHAnsi"/>
        </w:rPr>
        <w:t xml:space="preserve">The vendor or the vendor’s licensed estate agent must make the prescribed due diligence checklist available to purchasers before offering land for sale that is vacant residential land or land on which there is a residence. It is not required to be attached to the section 32 statement, but many firms attach it as a matter of convenience. </w:t>
      </w:r>
    </w:p>
    <w:p w14:paraId="139C33AB" w14:textId="2FFC8644" w:rsidR="00B84943" w:rsidRPr="004943B2" w:rsidRDefault="00B84943" w:rsidP="00B84943">
      <w:pPr>
        <w:spacing w:before="40" w:after="40"/>
        <w:rPr>
          <w:rFonts w:asciiTheme="minorHAnsi" w:hAnsiTheme="minorHAnsi"/>
          <w:iCs/>
        </w:rPr>
      </w:pPr>
      <w:r w:rsidRPr="004943B2">
        <w:rPr>
          <w:rFonts w:asciiTheme="minorHAnsi" w:hAnsiTheme="minorHAnsi"/>
          <w:i/>
          <w:sz w:val="17"/>
        </w:rPr>
        <w:t>Further information:</w:t>
      </w:r>
      <w:r w:rsidR="004F517A" w:rsidRPr="004943B2">
        <w:rPr>
          <w:rFonts w:asciiTheme="minorHAnsi" w:hAnsiTheme="minorHAnsi"/>
          <w:i/>
          <w:sz w:val="17"/>
        </w:rPr>
        <w:t xml:space="preserve">  </w:t>
      </w:r>
      <w:hyperlink r:id="rId68" w:history="1">
        <w:r w:rsidR="004F517A" w:rsidRPr="004943B2">
          <w:rPr>
            <w:rStyle w:val="Hyperlink"/>
            <w:iCs/>
          </w:rPr>
          <w:t xml:space="preserve">Consumer Affairs Victoria – </w:t>
        </w:r>
        <w:r w:rsidR="00775B32" w:rsidRPr="004943B2">
          <w:rPr>
            <w:rStyle w:val="Hyperlink"/>
            <w:iCs/>
          </w:rPr>
          <w:t>Due diligence checklist - for home and residential property buyers</w:t>
        </w:r>
      </w:hyperlink>
    </w:p>
    <w:p w14:paraId="6A76D8B9"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E23  Land particulars on certificates</w:t>
      </w:r>
    </w:p>
    <w:p w14:paraId="6C65147C" w14:textId="71F7EE46" w:rsidR="00B84943" w:rsidRPr="004943B2" w:rsidRDefault="00CD3878" w:rsidP="00B84943">
      <w:pPr>
        <w:spacing w:after="40"/>
        <w:rPr>
          <w:rFonts w:asciiTheme="minorHAnsi" w:hAnsiTheme="minorHAnsi"/>
        </w:rPr>
      </w:pPr>
      <w:r w:rsidRPr="004943B2">
        <w:rPr>
          <w:rFonts w:asciiTheme="minorHAnsi" w:hAnsiTheme="minorHAnsi"/>
        </w:rPr>
        <w:t>If</w:t>
      </w:r>
      <w:r w:rsidR="00B84943" w:rsidRPr="004943B2">
        <w:rPr>
          <w:rFonts w:asciiTheme="minorHAnsi" w:hAnsiTheme="minorHAnsi"/>
        </w:rPr>
        <w:t xml:space="preserve"> the land particulars on the certificate do not match the register search statement, the certificate may relate to different land</w:t>
      </w:r>
      <w:r w:rsidR="007C4703" w:rsidRPr="004943B2">
        <w:rPr>
          <w:rFonts w:asciiTheme="minorHAnsi" w:hAnsiTheme="minorHAnsi"/>
        </w:rPr>
        <w:t>.</w:t>
      </w:r>
      <w:r w:rsidR="00B84943" w:rsidRPr="004943B2">
        <w:rPr>
          <w:rFonts w:asciiTheme="minorHAnsi" w:hAnsiTheme="minorHAnsi"/>
        </w:rPr>
        <w:t xml:space="preserve"> </w:t>
      </w:r>
      <w:r w:rsidRPr="004943B2">
        <w:rPr>
          <w:rFonts w:asciiTheme="minorHAnsi" w:hAnsiTheme="minorHAnsi"/>
        </w:rPr>
        <w:t>In this scenario practitioners may need to make further enquiries and re-order certificate</w:t>
      </w:r>
      <w:r w:rsidR="00D06A28" w:rsidRPr="004943B2">
        <w:rPr>
          <w:rFonts w:asciiTheme="minorHAnsi" w:hAnsiTheme="minorHAnsi"/>
        </w:rPr>
        <w:t>s to ensure that the correct certificates that reflect</w:t>
      </w:r>
      <w:r w:rsidR="00B84943" w:rsidRPr="004943B2">
        <w:rPr>
          <w:rFonts w:asciiTheme="minorHAnsi" w:hAnsiTheme="minorHAnsi"/>
        </w:rPr>
        <w:t xml:space="preserve"> the </w:t>
      </w:r>
      <w:r w:rsidR="00D06A28" w:rsidRPr="004943B2">
        <w:rPr>
          <w:rFonts w:asciiTheme="minorHAnsi" w:hAnsiTheme="minorHAnsi"/>
        </w:rPr>
        <w:t xml:space="preserve">property </w:t>
      </w:r>
      <w:proofErr w:type="gramStart"/>
      <w:r w:rsidR="00D06A28" w:rsidRPr="004943B2">
        <w:rPr>
          <w:rFonts w:asciiTheme="minorHAnsi" w:hAnsiTheme="minorHAnsi"/>
        </w:rPr>
        <w:t>title details</w:t>
      </w:r>
      <w:proofErr w:type="gramEnd"/>
      <w:r w:rsidR="00D06A28" w:rsidRPr="004943B2">
        <w:rPr>
          <w:rFonts w:asciiTheme="minorHAnsi" w:hAnsiTheme="minorHAnsi"/>
        </w:rPr>
        <w:t xml:space="preserve"> are obtained</w:t>
      </w:r>
      <w:r w:rsidR="00514E51" w:rsidRPr="004943B2">
        <w:rPr>
          <w:rFonts w:asciiTheme="minorHAnsi" w:hAnsiTheme="minorHAnsi"/>
        </w:rPr>
        <w:t xml:space="preserve">, reviewed and annexed to </w:t>
      </w:r>
      <w:proofErr w:type="gramStart"/>
      <w:r w:rsidR="00514E51" w:rsidRPr="004943B2">
        <w:rPr>
          <w:rFonts w:asciiTheme="minorHAnsi" w:hAnsiTheme="minorHAnsi"/>
        </w:rPr>
        <w:t>the section</w:t>
      </w:r>
      <w:proofErr w:type="gramEnd"/>
      <w:r w:rsidR="00514E51" w:rsidRPr="004943B2">
        <w:rPr>
          <w:rFonts w:asciiTheme="minorHAnsi" w:hAnsiTheme="minorHAnsi"/>
        </w:rPr>
        <w:t xml:space="preserve"> </w:t>
      </w:r>
      <w:r w:rsidR="000E4FFD">
        <w:rPr>
          <w:rFonts w:asciiTheme="minorHAnsi" w:hAnsiTheme="minorHAnsi"/>
        </w:rPr>
        <w:t xml:space="preserve">32 </w:t>
      </w:r>
      <w:r w:rsidR="00514E51" w:rsidRPr="004943B2">
        <w:rPr>
          <w:rFonts w:asciiTheme="minorHAnsi" w:hAnsiTheme="minorHAnsi"/>
        </w:rPr>
        <w:t>statement</w:t>
      </w:r>
      <w:r w:rsidR="00D06A28" w:rsidRPr="004943B2">
        <w:rPr>
          <w:rFonts w:asciiTheme="minorHAnsi" w:hAnsiTheme="minorHAnsi"/>
        </w:rPr>
        <w:t>.</w:t>
      </w:r>
      <w:r w:rsidR="007B5931" w:rsidRPr="004943B2">
        <w:rPr>
          <w:rFonts w:asciiTheme="minorHAnsi" w:hAnsiTheme="minorHAnsi"/>
        </w:rPr>
        <w:t xml:space="preserve"> Similarly, where the land being sold consists of multiple titles, </w:t>
      </w:r>
      <w:r w:rsidR="0093435B" w:rsidRPr="004943B2">
        <w:rPr>
          <w:rFonts w:asciiTheme="minorHAnsi" w:hAnsiTheme="minorHAnsi"/>
        </w:rPr>
        <w:t xml:space="preserve">practitioners need to ensure that the section 32 </w:t>
      </w:r>
      <w:r w:rsidR="006B0F24" w:rsidRPr="004943B2">
        <w:rPr>
          <w:rFonts w:asciiTheme="minorHAnsi" w:hAnsiTheme="minorHAnsi"/>
        </w:rPr>
        <w:t xml:space="preserve">statement </w:t>
      </w:r>
      <w:r w:rsidR="0093435B" w:rsidRPr="004943B2">
        <w:rPr>
          <w:rFonts w:asciiTheme="minorHAnsi" w:hAnsiTheme="minorHAnsi"/>
        </w:rPr>
        <w:t xml:space="preserve">discloses the required information for </w:t>
      </w:r>
      <w:proofErr w:type="gramStart"/>
      <w:r w:rsidR="0093435B" w:rsidRPr="004943B2">
        <w:rPr>
          <w:rFonts w:asciiTheme="minorHAnsi" w:hAnsiTheme="minorHAnsi"/>
        </w:rPr>
        <w:t>all of</w:t>
      </w:r>
      <w:proofErr w:type="gramEnd"/>
      <w:r w:rsidR="0093435B" w:rsidRPr="004943B2">
        <w:rPr>
          <w:rFonts w:asciiTheme="minorHAnsi" w:hAnsiTheme="minorHAnsi"/>
        </w:rPr>
        <w:t xml:space="preserve"> the lots being sold, and that annexed documents and certificates </w:t>
      </w:r>
      <w:r w:rsidR="006B0F24" w:rsidRPr="004943B2">
        <w:rPr>
          <w:rFonts w:asciiTheme="minorHAnsi" w:hAnsiTheme="minorHAnsi"/>
        </w:rPr>
        <w:t xml:space="preserve">relate to </w:t>
      </w:r>
      <w:proofErr w:type="gramStart"/>
      <w:r w:rsidR="006B0F24" w:rsidRPr="004943B2">
        <w:rPr>
          <w:rFonts w:asciiTheme="minorHAnsi" w:hAnsiTheme="minorHAnsi"/>
        </w:rPr>
        <w:t>all of</w:t>
      </w:r>
      <w:proofErr w:type="gramEnd"/>
      <w:r w:rsidR="006B0F24" w:rsidRPr="004943B2">
        <w:rPr>
          <w:rFonts w:asciiTheme="minorHAnsi" w:hAnsiTheme="minorHAnsi"/>
        </w:rPr>
        <w:t xml:space="preserve"> the land.</w:t>
      </w:r>
      <w:r w:rsidR="007B5931" w:rsidRPr="004943B2">
        <w:rPr>
          <w:rFonts w:asciiTheme="minorHAnsi" w:hAnsiTheme="minorHAnsi"/>
        </w:rPr>
        <w:t xml:space="preserve"> </w:t>
      </w:r>
    </w:p>
    <w:p w14:paraId="4D786695" w14:textId="520F50C3" w:rsidR="00BE7264" w:rsidRPr="004943B2" w:rsidRDefault="00D06A28" w:rsidP="00B84943">
      <w:pPr>
        <w:spacing w:after="40"/>
        <w:rPr>
          <w:rFonts w:asciiTheme="minorHAnsi" w:hAnsiTheme="minorHAnsi"/>
        </w:rPr>
      </w:pPr>
      <w:r w:rsidRPr="004943B2">
        <w:rPr>
          <w:rFonts w:asciiTheme="minorHAnsi" w:hAnsiTheme="minorHAnsi"/>
        </w:rPr>
        <w:t xml:space="preserve">In </w:t>
      </w:r>
      <w:r w:rsidR="009A124F" w:rsidRPr="004943B2">
        <w:rPr>
          <w:rFonts w:asciiTheme="minorHAnsi" w:hAnsiTheme="minorHAnsi"/>
        </w:rPr>
        <w:t>some</w:t>
      </w:r>
      <w:r w:rsidRPr="004943B2">
        <w:rPr>
          <w:rFonts w:asciiTheme="minorHAnsi" w:hAnsiTheme="minorHAnsi"/>
        </w:rPr>
        <w:t xml:space="preserve"> </w:t>
      </w:r>
      <w:proofErr w:type="gramStart"/>
      <w:r w:rsidRPr="004943B2">
        <w:rPr>
          <w:rFonts w:asciiTheme="minorHAnsi" w:hAnsiTheme="minorHAnsi"/>
        </w:rPr>
        <w:t>cases</w:t>
      </w:r>
      <w:proofErr w:type="gramEnd"/>
      <w:r w:rsidRPr="004943B2">
        <w:rPr>
          <w:rFonts w:asciiTheme="minorHAnsi" w:hAnsiTheme="minorHAnsi"/>
        </w:rPr>
        <w:t xml:space="preserve"> a property may be separately rated. For </w:t>
      </w:r>
      <w:r w:rsidR="002B22CA" w:rsidRPr="004943B2">
        <w:rPr>
          <w:rFonts w:asciiTheme="minorHAnsi" w:hAnsiTheme="minorHAnsi"/>
        </w:rPr>
        <w:t>example,</w:t>
      </w:r>
      <w:r w:rsidRPr="004943B2">
        <w:rPr>
          <w:rFonts w:asciiTheme="minorHAnsi" w:hAnsiTheme="minorHAnsi"/>
        </w:rPr>
        <w:t xml:space="preserve"> a double story building that has </w:t>
      </w:r>
      <w:proofErr w:type="gramStart"/>
      <w:r w:rsidRPr="004943B2">
        <w:rPr>
          <w:rFonts w:asciiTheme="minorHAnsi" w:hAnsiTheme="minorHAnsi"/>
        </w:rPr>
        <w:t>a commercial</w:t>
      </w:r>
      <w:proofErr w:type="gramEnd"/>
      <w:r w:rsidRPr="004943B2">
        <w:rPr>
          <w:rFonts w:asciiTheme="minorHAnsi" w:hAnsiTheme="minorHAnsi"/>
        </w:rPr>
        <w:t xml:space="preserve"> premises on the ground floor, and residential dwelling directly above. </w:t>
      </w:r>
      <w:r w:rsidR="00BE7264" w:rsidRPr="004943B2">
        <w:rPr>
          <w:rFonts w:asciiTheme="minorHAnsi" w:hAnsiTheme="minorHAnsi"/>
        </w:rPr>
        <w:t>Where the certificate relates to only part of the land being sold, practitioners should take care to order</w:t>
      </w:r>
      <w:r w:rsidR="002E507C" w:rsidRPr="004943B2">
        <w:rPr>
          <w:rFonts w:asciiTheme="minorHAnsi" w:hAnsiTheme="minorHAnsi"/>
        </w:rPr>
        <w:t>, review</w:t>
      </w:r>
      <w:r w:rsidR="00BE7264" w:rsidRPr="004943B2">
        <w:rPr>
          <w:rFonts w:asciiTheme="minorHAnsi" w:hAnsiTheme="minorHAnsi"/>
        </w:rPr>
        <w:t xml:space="preserve"> and annex to </w:t>
      </w:r>
      <w:proofErr w:type="gramStart"/>
      <w:r w:rsidR="00BE7264" w:rsidRPr="004943B2">
        <w:rPr>
          <w:rFonts w:asciiTheme="minorHAnsi" w:hAnsiTheme="minorHAnsi"/>
        </w:rPr>
        <w:t>the section</w:t>
      </w:r>
      <w:proofErr w:type="gramEnd"/>
      <w:r w:rsidR="00BE7264" w:rsidRPr="004943B2">
        <w:rPr>
          <w:rFonts w:asciiTheme="minorHAnsi" w:hAnsiTheme="minorHAnsi"/>
        </w:rPr>
        <w:t xml:space="preserve"> 32 statement all applicable certificates that apply to all separately rated parcels of land that are being sold.</w:t>
      </w:r>
    </w:p>
    <w:p w14:paraId="4B05B019" w14:textId="77777777" w:rsidR="000E4FFD" w:rsidRDefault="000E4FFD" w:rsidP="00B84943">
      <w:pPr>
        <w:spacing w:before="180" w:after="40"/>
        <w:rPr>
          <w:rFonts w:asciiTheme="minorHAnsi" w:hAnsiTheme="minorHAnsi"/>
          <w:b/>
          <w:color w:val="1F3364"/>
          <w:sz w:val="21"/>
          <w:szCs w:val="21"/>
        </w:rPr>
      </w:pPr>
    </w:p>
    <w:p w14:paraId="7CCFCCBC" w14:textId="30D7347F"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szCs w:val="21"/>
        </w:rPr>
        <w:lastRenderedPageBreak/>
        <w:t>E24  Sewers, drains</w:t>
      </w:r>
      <w:r w:rsidR="00006068" w:rsidRPr="004943B2">
        <w:rPr>
          <w:rFonts w:asciiTheme="minorHAnsi" w:hAnsiTheme="minorHAnsi"/>
          <w:b/>
          <w:color w:val="1F3364"/>
          <w:sz w:val="21"/>
          <w:szCs w:val="21"/>
        </w:rPr>
        <w:t>,</w:t>
      </w:r>
      <w:r w:rsidRPr="004943B2">
        <w:rPr>
          <w:rFonts w:asciiTheme="minorHAnsi" w:hAnsiTheme="minorHAnsi"/>
          <w:b/>
          <w:color w:val="1F3364"/>
          <w:sz w:val="21"/>
          <w:szCs w:val="21"/>
        </w:rPr>
        <w:t xml:space="preserve"> and built over </w:t>
      </w:r>
      <w:r w:rsidR="00006068" w:rsidRPr="004943B2">
        <w:rPr>
          <w:rFonts w:asciiTheme="minorHAnsi" w:hAnsiTheme="minorHAnsi"/>
          <w:b/>
          <w:color w:val="1F3364"/>
          <w:sz w:val="21"/>
          <w:szCs w:val="21"/>
        </w:rPr>
        <w:t>easements</w:t>
      </w:r>
    </w:p>
    <w:p w14:paraId="2BD8A3D9" w14:textId="25E2DC39" w:rsidR="00953C90" w:rsidRPr="004943B2" w:rsidRDefault="00A80089" w:rsidP="1A3134AD">
      <w:pPr>
        <w:spacing w:after="40"/>
        <w:rPr>
          <w:rFonts w:asciiTheme="minorHAnsi" w:hAnsiTheme="minorHAnsi"/>
        </w:rPr>
      </w:pPr>
      <w:r w:rsidRPr="004943B2">
        <w:rPr>
          <w:rFonts w:asciiTheme="minorHAnsi" w:hAnsiTheme="minorHAnsi"/>
        </w:rPr>
        <w:t>A</w:t>
      </w:r>
      <w:r w:rsidR="00B84943" w:rsidRPr="004943B2">
        <w:rPr>
          <w:rFonts w:asciiTheme="minorHAnsi" w:hAnsiTheme="minorHAnsi"/>
        </w:rPr>
        <w:t xml:space="preserve"> water asset plan </w:t>
      </w:r>
      <w:r w:rsidRPr="004943B2">
        <w:rPr>
          <w:rFonts w:asciiTheme="minorHAnsi" w:hAnsiTheme="minorHAnsi"/>
        </w:rPr>
        <w:t>contained in a water information certificate</w:t>
      </w:r>
      <w:r w:rsidR="00A14CC8" w:rsidRPr="004943B2">
        <w:rPr>
          <w:rFonts w:asciiTheme="minorHAnsi" w:hAnsiTheme="minorHAnsi"/>
        </w:rPr>
        <w:t xml:space="preserve"> or a </w:t>
      </w:r>
      <w:proofErr w:type="gramStart"/>
      <w:r w:rsidR="00A14CC8" w:rsidRPr="004943B2">
        <w:rPr>
          <w:rFonts w:asciiTheme="minorHAnsi" w:hAnsiTheme="minorHAnsi"/>
        </w:rPr>
        <w:t>sewers</w:t>
      </w:r>
      <w:proofErr w:type="gramEnd"/>
      <w:r w:rsidR="00A14CC8" w:rsidRPr="004943B2">
        <w:rPr>
          <w:rFonts w:asciiTheme="minorHAnsi" w:hAnsiTheme="minorHAnsi"/>
        </w:rPr>
        <w:t xml:space="preserve"> and drains </w:t>
      </w:r>
      <w:r w:rsidR="0054768F" w:rsidRPr="004943B2">
        <w:rPr>
          <w:rFonts w:asciiTheme="minorHAnsi" w:hAnsiTheme="minorHAnsi"/>
        </w:rPr>
        <w:t>map</w:t>
      </w:r>
      <w:r w:rsidR="00BB3DB9" w:rsidRPr="004943B2">
        <w:rPr>
          <w:rFonts w:asciiTheme="minorHAnsi" w:hAnsiTheme="minorHAnsi"/>
        </w:rPr>
        <w:t>,</w:t>
      </w:r>
      <w:r w:rsidRPr="004943B2">
        <w:rPr>
          <w:rFonts w:asciiTheme="minorHAnsi" w:hAnsiTheme="minorHAnsi"/>
        </w:rPr>
        <w:t xml:space="preserve"> can illustrate </w:t>
      </w:r>
      <w:r w:rsidR="00B84943" w:rsidRPr="004943B2">
        <w:rPr>
          <w:rFonts w:asciiTheme="minorHAnsi" w:hAnsiTheme="minorHAnsi"/>
        </w:rPr>
        <w:t>sewer and drainage assets</w:t>
      </w:r>
      <w:r w:rsidRPr="004943B2">
        <w:rPr>
          <w:rFonts w:asciiTheme="minorHAnsi" w:hAnsiTheme="minorHAnsi"/>
        </w:rPr>
        <w:t xml:space="preserve"> </w:t>
      </w:r>
      <w:proofErr w:type="spellStart"/>
      <w:proofErr w:type="gramStart"/>
      <w:r w:rsidRPr="004943B2">
        <w:rPr>
          <w:rFonts w:asciiTheme="minorHAnsi" w:hAnsiTheme="minorHAnsi"/>
        </w:rPr>
        <w:t>the</w:t>
      </w:r>
      <w:proofErr w:type="spellEnd"/>
      <w:proofErr w:type="gramEnd"/>
      <w:r w:rsidRPr="004943B2">
        <w:rPr>
          <w:rFonts w:asciiTheme="minorHAnsi" w:hAnsiTheme="minorHAnsi"/>
        </w:rPr>
        <w:t xml:space="preserve"> may encumber the land</w:t>
      </w:r>
      <w:r w:rsidR="00B84943" w:rsidRPr="004943B2">
        <w:rPr>
          <w:rFonts w:asciiTheme="minorHAnsi" w:hAnsiTheme="minorHAnsi"/>
        </w:rPr>
        <w:t xml:space="preserve">. In some cases, </w:t>
      </w:r>
      <w:proofErr w:type="gramStart"/>
      <w:r w:rsidR="00B84943" w:rsidRPr="004943B2">
        <w:rPr>
          <w:rFonts w:asciiTheme="minorHAnsi" w:hAnsiTheme="minorHAnsi"/>
        </w:rPr>
        <w:t>these sewer</w:t>
      </w:r>
      <w:proofErr w:type="gramEnd"/>
      <w:r w:rsidR="00B84943" w:rsidRPr="004943B2">
        <w:rPr>
          <w:rFonts w:asciiTheme="minorHAnsi" w:hAnsiTheme="minorHAnsi"/>
        </w:rPr>
        <w:t xml:space="preserve"> and drain assets may not be </w:t>
      </w:r>
      <w:r w:rsidRPr="004943B2">
        <w:rPr>
          <w:rFonts w:asciiTheme="minorHAnsi" w:hAnsiTheme="minorHAnsi"/>
        </w:rPr>
        <w:t>recorded</w:t>
      </w:r>
      <w:r w:rsidR="00B84943" w:rsidRPr="004943B2">
        <w:rPr>
          <w:rFonts w:asciiTheme="minorHAnsi" w:hAnsiTheme="minorHAnsi"/>
        </w:rPr>
        <w:t xml:space="preserve"> on the title </w:t>
      </w:r>
      <w:proofErr w:type="gramStart"/>
      <w:r w:rsidR="00B84943" w:rsidRPr="004943B2">
        <w:rPr>
          <w:rFonts w:asciiTheme="minorHAnsi" w:hAnsiTheme="minorHAnsi"/>
        </w:rPr>
        <w:t>diagram, and</w:t>
      </w:r>
      <w:proofErr w:type="gramEnd"/>
      <w:r w:rsidR="00B84943" w:rsidRPr="004943B2">
        <w:rPr>
          <w:rFonts w:asciiTheme="minorHAnsi" w:hAnsiTheme="minorHAnsi"/>
        </w:rPr>
        <w:t xml:space="preserve"> therefore are unregistered easements that must be disclosed under section 32C of the Sale of Land Act. </w:t>
      </w:r>
    </w:p>
    <w:p w14:paraId="5E4B0A20" w14:textId="13FF5E29" w:rsidR="0012651A" w:rsidRPr="004943B2" w:rsidRDefault="0012651A" w:rsidP="0012651A">
      <w:pPr>
        <w:spacing w:after="40"/>
        <w:rPr>
          <w:rFonts w:asciiTheme="minorHAnsi" w:hAnsiTheme="minorHAnsi"/>
        </w:rPr>
      </w:pPr>
      <w:r w:rsidRPr="004943B2">
        <w:rPr>
          <w:rFonts w:asciiTheme="minorHAnsi" w:hAnsiTheme="minorHAnsi"/>
        </w:rPr>
        <w:t xml:space="preserve">A water information certificate does not always </w:t>
      </w:r>
      <w:r w:rsidR="008162BE" w:rsidRPr="004943B2">
        <w:rPr>
          <w:rFonts w:asciiTheme="minorHAnsi" w:hAnsiTheme="minorHAnsi"/>
        </w:rPr>
        <w:t>disclose</w:t>
      </w:r>
      <w:r w:rsidRPr="004943B2">
        <w:rPr>
          <w:rFonts w:asciiTheme="minorHAnsi" w:hAnsiTheme="minorHAnsi"/>
        </w:rPr>
        <w:t xml:space="preserve"> an unregistered easement, particularly for older properties and depending on the authority. Where no infrastructure map comes with the </w:t>
      </w:r>
      <w:r w:rsidR="00BF37B7" w:rsidRPr="004943B2">
        <w:rPr>
          <w:rFonts w:asciiTheme="minorHAnsi" w:hAnsiTheme="minorHAnsi"/>
        </w:rPr>
        <w:t>water information</w:t>
      </w:r>
      <w:r w:rsidRPr="004943B2">
        <w:rPr>
          <w:rFonts w:asciiTheme="minorHAnsi" w:hAnsiTheme="minorHAnsi"/>
        </w:rPr>
        <w:t xml:space="preserve"> certificate, consider ordering a </w:t>
      </w:r>
      <w:proofErr w:type="gramStart"/>
      <w:r w:rsidRPr="004943B2">
        <w:rPr>
          <w:rFonts w:asciiTheme="minorHAnsi" w:hAnsiTheme="minorHAnsi"/>
        </w:rPr>
        <w:t>sewers</w:t>
      </w:r>
      <w:proofErr w:type="gramEnd"/>
      <w:r w:rsidRPr="004943B2">
        <w:rPr>
          <w:rFonts w:asciiTheme="minorHAnsi" w:hAnsiTheme="minorHAnsi"/>
        </w:rPr>
        <w:t xml:space="preserve"> and drains map, which may disclose a drainage or sewer easement that is not on the title diagram and still </w:t>
      </w:r>
      <w:proofErr w:type="gramStart"/>
      <w:r w:rsidRPr="004943B2">
        <w:rPr>
          <w:rFonts w:asciiTheme="minorHAnsi" w:hAnsiTheme="minorHAnsi"/>
        </w:rPr>
        <w:t>has to</w:t>
      </w:r>
      <w:proofErr w:type="gramEnd"/>
      <w:r w:rsidRPr="004943B2">
        <w:rPr>
          <w:rFonts w:asciiTheme="minorHAnsi" w:hAnsiTheme="minorHAnsi"/>
        </w:rPr>
        <w:t xml:space="preserve"> be disclosed.</w:t>
      </w:r>
    </w:p>
    <w:p w14:paraId="4AEE3385" w14:textId="0F7802B8" w:rsidR="00B84943" w:rsidRPr="004943B2" w:rsidRDefault="00953C90" w:rsidP="00B84943">
      <w:pPr>
        <w:spacing w:after="40"/>
        <w:rPr>
          <w:rFonts w:asciiTheme="minorHAnsi" w:hAnsiTheme="minorHAnsi"/>
        </w:rPr>
      </w:pPr>
      <w:r w:rsidRPr="004943B2">
        <w:rPr>
          <w:rFonts w:asciiTheme="minorHAnsi" w:hAnsiTheme="minorHAnsi"/>
        </w:rPr>
        <w:t xml:space="preserve">Practitioners </w:t>
      </w:r>
      <w:r w:rsidR="0054768F" w:rsidRPr="004943B2">
        <w:rPr>
          <w:rFonts w:asciiTheme="minorHAnsi" w:hAnsiTheme="minorHAnsi"/>
        </w:rPr>
        <w:t>should also</w:t>
      </w:r>
      <w:r w:rsidRPr="004943B2">
        <w:rPr>
          <w:rFonts w:asciiTheme="minorHAnsi" w:hAnsiTheme="minorHAnsi"/>
        </w:rPr>
        <w:t xml:space="preserve"> consider comparing an aerial image of the property against the title diagram, as doing so may show whether a building, wall, fence or other structure has been placed over a sewer or drain easement, which is prohibited without </w:t>
      </w:r>
      <w:r w:rsidR="00280F49" w:rsidRPr="004943B2">
        <w:rPr>
          <w:rFonts w:asciiTheme="minorHAnsi" w:hAnsiTheme="minorHAnsi"/>
        </w:rPr>
        <w:t xml:space="preserve">the </w:t>
      </w:r>
      <w:r w:rsidRPr="004943B2">
        <w:rPr>
          <w:rFonts w:asciiTheme="minorHAnsi" w:hAnsiTheme="minorHAnsi"/>
        </w:rPr>
        <w:t>consent</w:t>
      </w:r>
      <w:r w:rsidR="00280F49" w:rsidRPr="004943B2">
        <w:rPr>
          <w:rFonts w:asciiTheme="minorHAnsi" w:hAnsiTheme="minorHAnsi"/>
        </w:rPr>
        <w:t xml:space="preserve"> of the relevant authority,</w:t>
      </w:r>
      <w:r w:rsidRPr="004943B2">
        <w:rPr>
          <w:rFonts w:asciiTheme="minorHAnsi" w:hAnsiTheme="minorHAnsi"/>
        </w:rPr>
        <w:t xml:space="preserve"> and is an existing failure to comply that must be disclosed in the section 32 statement. </w:t>
      </w:r>
    </w:p>
    <w:p w14:paraId="10F107DD" w14:textId="50202922" w:rsidR="00B84943" w:rsidRPr="004943B2" w:rsidRDefault="00B84943" w:rsidP="00B84943">
      <w:pPr>
        <w:spacing w:before="40" w:after="40"/>
        <w:rPr>
          <w:rFonts w:asciiTheme="minorHAnsi" w:hAnsiTheme="minorHAnsi"/>
        </w:rPr>
      </w:pPr>
      <w:r w:rsidRPr="004943B2">
        <w:rPr>
          <w:rFonts w:asciiTheme="minorHAnsi" w:hAnsiTheme="minorHAnsi"/>
          <w:i/>
          <w:sz w:val="17"/>
          <w:szCs w:val="17"/>
        </w:rPr>
        <w:t>Further information:</w:t>
      </w:r>
      <w:r w:rsidR="009558C1" w:rsidRPr="004943B2">
        <w:rPr>
          <w:rFonts w:asciiTheme="minorHAnsi" w:hAnsiTheme="minorHAnsi"/>
          <w:iCs/>
          <w:sz w:val="17"/>
          <w:szCs w:val="17"/>
        </w:rPr>
        <w:t xml:space="preserve">  </w:t>
      </w:r>
      <w:hyperlink r:id="rId69" w:history="1">
        <w:r w:rsidR="009558C1" w:rsidRPr="004943B2">
          <w:rPr>
            <w:rStyle w:val="Hyperlink"/>
            <w:iCs/>
            <w:szCs w:val="17"/>
          </w:rPr>
          <w:t xml:space="preserve">Section 32C of the Sale of land Act  </w:t>
        </w:r>
      </w:hyperlink>
      <w:r w:rsidR="009558C1" w:rsidRPr="004943B2">
        <w:rPr>
          <w:rFonts w:asciiTheme="minorHAnsi" w:hAnsiTheme="minorHAnsi"/>
          <w:iCs/>
          <w:sz w:val="17"/>
          <w:szCs w:val="17"/>
        </w:rPr>
        <w:t xml:space="preserve"> </w:t>
      </w:r>
      <w:r w:rsidR="009558C1" w:rsidRPr="004943B2">
        <w:rPr>
          <w:rFonts w:asciiTheme="minorHAnsi" w:hAnsiTheme="minorHAnsi"/>
          <w:sz w:val="17"/>
        </w:rPr>
        <w:t xml:space="preserve">|  </w:t>
      </w:r>
      <w:r w:rsidRPr="004943B2">
        <w:rPr>
          <w:rFonts w:asciiTheme="minorHAnsi" w:hAnsiTheme="minorHAnsi"/>
          <w:i/>
          <w:sz w:val="17"/>
          <w:szCs w:val="17"/>
        </w:rPr>
        <w:t xml:space="preserve"> </w:t>
      </w:r>
      <w:hyperlink r:id="rId70">
        <w:r w:rsidRPr="00942C14">
          <w:rPr>
            <w:rStyle w:val="Hyperlink"/>
          </w:rPr>
          <w:t>Make it a rule to include water information certificates</w:t>
        </w:r>
      </w:hyperlink>
    </w:p>
    <w:p w14:paraId="09C75738" w14:textId="7777777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E25  Rates, taxes and charges</w:t>
      </w:r>
    </w:p>
    <w:p w14:paraId="3F69C015" w14:textId="05DDD811" w:rsidR="00B84943" w:rsidRPr="004943B2" w:rsidRDefault="00B84943" w:rsidP="00B84943">
      <w:pPr>
        <w:spacing w:after="40"/>
        <w:rPr>
          <w:rFonts w:asciiTheme="minorHAnsi" w:hAnsiTheme="minorHAnsi"/>
        </w:rPr>
      </w:pPr>
      <w:r w:rsidRPr="004943B2">
        <w:rPr>
          <w:rFonts w:asciiTheme="minorHAnsi" w:hAnsiTheme="minorHAnsi"/>
        </w:rPr>
        <w:t xml:space="preserve">Section 1.1 of </w:t>
      </w:r>
      <w:proofErr w:type="gramStart"/>
      <w:r w:rsidRPr="004943B2">
        <w:rPr>
          <w:rFonts w:asciiTheme="minorHAnsi" w:hAnsiTheme="minorHAnsi"/>
        </w:rPr>
        <w:t>the section</w:t>
      </w:r>
      <w:proofErr w:type="gramEnd"/>
      <w:r w:rsidRPr="004943B2">
        <w:rPr>
          <w:rFonts w:asciiTheme="minorHAnsi" w:hAnsiTheme="minorHAnsi"/>
        </w:rPr>
        <w:t xml:space="preserve"> </w:t>
      </w:r>
      <w:proofErr w:type="gramStart"/>
      <w:r w:rsidRPr="004943B2">
        <w:rPr>
          <w:rFonts w:asciiTheme="minorHAnsi" w:hAnsiTheme="minorHAnsi"/>
        </w:rPr>
        <w:t>32 statement</w:t>
      </w:r>
      <w:proofErr w:type="gramEnd"/>
      <w:r w:rsidRPr="004943B2">
        <w:rPr>
          <w:rFonts w:asciiTheme="minorHAnsi" w:hAnsiTheme="minorHAnsi"/>
        </w:rPr>
        <w:t xml:space="preserve"> covers more than council rates. I</w:t>
      </w:r>
      <w:r w:rsidR="00EE48FF" w:rsidRPr="004943B2">
        <w:rPr>
          <w:rFonts w:asciiTheme="minorHAnsi" w:hAnsiTheme="minorHAnsi"/>
        </w:rPr>
        <w:t>f applicable it also requires disclosure of</w:t>
      </w:r>
      <w:r w:rsidRPr="004943B2">
        <w:rPr>
          <w:rFonts w:asciiTheme="minorHAnsi" w:hAnsiTheme="minorHAnsi"/>
        </w:rPr>
        <w:t xml:space="preserve"> includes water rates, land tax, vacant residential land tax, the absentee owner surcharge, </w:t>
      </w:r>
      <w:proofErr w:type="gramStart"/>
      <w:r w:rsidRPr="004943B2">
        <w:rPr>
          <w:rFonts w:asciiTheme="minorHAnsi" w:hAnsiTheme="minorHAnsi"/>
        </w:rPr>
        <w:t>owners</w:t>
      </w:r>
      <w:proofErr w:type="gramEnd"/>
      <w:r w:rsidRPr="004943B2">
        <w:rPr>
          <w:rFonts w:asciiTheme="minorHAnsi" w:hAnsiTheme="minorHAnsi"/>
        </w:rPr>
        <w:t xml:space="preserve"> corporation fees, congestion levy and any GAIC. Section 1.2 of the section 32 statement covers a charge imposed by or under an Act to secure an amount due under that Act, which is a different thing and needs the amount owing.</w:t>
      </w:r>
    </w:p>
    <w:p w14:paraId="5BEE56B5" w14:textId="06F19816" w:rsidR="00E20498" w:rsidRPr="004943B2" w:rsidRDefault="00E20498" w:rsidP="00B84943">
      <w:pPr>
        <w:spacing w:after="40"/>
        <w:rPr>
          <w:rFonts w:asciiTheme="minorHAnsi" w:hAnsiTheme="minorHAnsi"/>
        </w:rPr>
      </w:pPr>
      <w:r w:rsidRPr="004943B2">
        <w:rPr>
          <w:rFonts w:asciiTheme="minorHAnsi" w:hAnsiTheme="minorHAnsi"/>
        </w:rPr>
        <w:t xml:space="preserve">If the congestion levy applies to the land, practitioners </w:t>
      </w:r>
      <w:proofErr w:type="gramStart"/>
      <w:r w:rsidRPr="004943B2">
        <w:rPr>
          <w:rFonts w:asciiTheme="minorHAnsi" w:hAnsiTheme="minorHAnsi"/>
        </w:rPr>
        <w:t>needs</w:t>
      </w:r>
      <w:proofErr w:type="gramEnd"/>
      <w:r w:rsidRPr="004943B2">
        <w:rPr>
          <w:rFonts w:asciiTheme="minorHAnsi" w:hAnsiTheme="minorHAnsi"/>
        </w:rPr>
        <w:t xml:space="preserve"> to obtain the </w:t>
      </w:r>
      <w:r w:rsidR="007A79C1" w:rsidRPr="004943B2">
        <w:rPr>
          <w:rFonts w:asciiTheme="minorHAnsi" w:hAnsiTheme="minorHAnsi"/>
        </w:rPr>
        <w:t>congestion levy notice from the client, as the SRO property clearance certificate does not currently disclose any particulars of the congestion levy</w:t>
      </w:r>
      <w:r w:rsidR="00A40BE9" w:rsidRPr="004943B2">
        <w:rPr>
          <w:rFonts w:asciiTheme="minorHAnsi" w:hAnsiTheme="minorHAnsi"/>
        </w:rPr>
        <w:t>.</w:t>
      </w:r>
    </w:p>
    <w:p w14:paraId="0B4063E4" w14:textId="4878A3ED" w:rsidR="0081128B" w:rsidRPr="004943B2" w:rsidRDefault="48E86122" w:rsidP="1A3134AD">
      <w:pPr>
        <w:spacing w:after="40"/>
        <w:rPr>
          <w:rFonts w:asciiTheme="minorHAnsi" w:hAnsiTheme="minorHAnsi"/>
        </w:rPr>
      </w:pPr>
      <w:r w:rsidRPr="004943B2">
        <w:rPr>
          <w:rFonts w:asciiTheme="minorHAnsi" w:hAnsiTheme="minorHAnsi"/>
        </w:rPr>
        <w:t>Section 1.5 of the section 32 statement requires the disclosure of certain CIPT particulars such as the AVPCC code, irrespective of the type of property being sold.</w:t>
      </w:r>
    </w:p>
    <w:p w14:paraId="56FABD12" w14:textId="4EEA5FD4" w:rsidR="00B84943" w:rsidRPr="004943B2" w:rsidRDefault="00B84943" w:rsidP="00B84943">
      <w:pPr>
        <w:spacing w:before="40" w:after="40"/>
        <w:rPr>
          <w:rFonts w:asciiTheme="minorHAnsi" w:hAnsiTheme="minorHAnsi"/>
        </w:rPr>
      </w:pPr>
      <w:r w:rsidRPr="004943B2">
        <w:rPr>
          <w:rFonts w:asciiTheme="minorHAnsi" w:hAnsiTheme="minorHAnsi"/>
          <w:i/>
          <w:sz w:val="17"/>
          <w:szCs w:val="17"/>
        </w:rPr>
        <w:t xml:space="preserve">Further information:  </w:t>
      </w:r>
      <w:hyperlink r:id="rId71">
        <w:r w:rsidRPr="00942C14">
          <w:rPr>
            <w:rStyle w:val="Hyperlink"/>
          </w:rPr>
          <w:t>Section 32A of the Sale of Land Act</w:t>
        </w:r>
      </w:hyperlink>
      <w:r w:rsidR="009D40AE" w:rsidRPr="004943B2">
        <w:rPr>
          <w:rFonts w:asciiTheme="minorHAnsi" w:hAnsiTheme="minorHAnsi"/>
        </w:rPr>
        <w:t xml:space="preserve">   </w:t>
      </w:r>
      <w:r w:rsidR="009D40AE" w:rsidRPr="004943B2">
        <w:rPr>
          <w:rFonts w:asciiTheme="minorHAnsi" w:hAnsiTheme="minorHAnsi"/>
          <w:sz w:val="17"/>
        </w:rPr>
        <w:t xml:space="preserve">|   </w:t>
      </w:r>
      <w:hyperlink r:id="rId72" w:history="1">
        <w:r w:rsidR="00E30FBF" w:rsidRPr="004943B2">
          <w:rPr>
            <w:rStyle w:val="Hyperlink"/>
          </w:rPr>
          <w:t>What conveyancing solicitors need to know about the congestion levy</w:t>
        </w:r>
      </w:hyperlink>
    </w:p>
    <w:p w14:paraId="1CFBDBBB" w14:textId="573589C5"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E26  Insurance, section 2.1</w:t>
      </w:r>
    </w:p>
    <w:p w14:paraId="052963FD" w14:textId="3BF34021" w:rsidR="00B84943" w:rsidRPr="004943B2" w:rsidRDefault="00B84943" w:rsidP="00B84943">
      <w:pPr>
        <w:spacing w:after="40"/>
        <w:rPr>
          <w:rFonts w:asciiTheme="minorHAnsi" w:hAnsiTheme="minorHAnsi"/>
        </w:rPr>
      </w:pPr>
      <w:r w:rsidRPr="004943B2">
        <w:rPr>
          <w:rFonts w:asciiTheme="minorHAnsi" w:hAnsiTheme="minorHAnsi"/>
        </w:rPr>
        <w:t>Section 2.1 of the section 32 statement only applies where the contract does not leave the land at the vendor’s risk until the purchaser becomes entitled to possession or receipt of rents and profits. The standard form does leave the risk with the vendor, so this section usually reads not applicable.</w:t>
      </w:r>
    </w:p>
    <w:p w14:paraId="1FED863A" w14:textId="7DF00B99"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szCs w:val="21"/>
        </w:rPr>
        <w:t>E27  Owner-builder works and section 137B</w:t>
      </w:r>
    </w:p>
    <w:p w14:paraId="76432414" w14:textId="54E928FE" w:rsidR="00B84943" w:rsidRPr="004943B2" w:rsidRDefault="00B84943" w:rsidP="00B84943">
      <w:pPr>
        <w:spacing w:after="40"/>
        <w:rPr>
          <w:rFonts w:asciiTheme="minorHAnsi" w:hAnsiTheme="minorHAnsi"/>
        </w:rPr>
      </w:pPr>
      <w:r w:rsidRPr="004943B2">
        <w:rPr>
          <w:rFonts w:asciiTheme="minorHAnsi" w:hAnsiTheme="minorHAnsi"/>
        </w:rPr>
        <w:t xml:space="preserve">Section 137B of the Building Act applies where a person constructs a building and sells within the </w:t>
      </w:r>
      <w:r w:rsidR="00C3589D" w:rsidRPr="004943B2">
        <w:rPr>
          <w:rFonts w:asciiTheme="minorHAnsi" w:hAnsiTheme="minorHAnsi"/>
        </w:rPr>
        <w:t>‘</w:t>
      </w:r>
      <w:r w:rsidRPr="004943B2">
        <w:rPr>
          <w:rFonts w:asciiTheme="minorHAnsi" w:hAnsiTheme="minorHAnsi"/>
        </w:rPr>
        <w:t>prescribed period</w:t>
      </w:r>
      <w:r w:rsidR="00C3589D" w:rsidRPr="004943B2">
        <w:rPr>
          <w:rFonts w:asciiTheme="minorHAnsi" w:hAnsiTheme="minorHAnsi"/>
        </w:rPr>
        <w:t>’</w:t>
      </w:r>
      <w:r w:rsidRPr="004943B2">
        <w:rPr>
          <w:rFonts w:asciiTheme="minorHAnsi" w:hAnsiTheme="minorHAnsi"/>
        </w:rPr>
        <w:t xml:space="preserve">. ‘Constructs a building’ is defined </w:t>
      </w:r>
      <w:proofErr w:type="gramStart"/>
      <w:r w:rsidRPr="004943B2">
        <w:rPr>
          <w:rFonts w:asciiTheme="minorHAnsi" w:hAnsiTheme="minorHAnsi"/>
        </w:rPr>
        <w:t>broadly</w:t>
      </w:r>
      <w:r w:rsidR="00C3589D" w:rsidRPr="004943B2">
        <w:rPr>
          <w:rFonts w:asciiTheme="minorHAnsi" w:hAnsiTheme="minorHAnsi"/>
        </w:rPr>
        <w:t>, and</w:t>
      </w:r>
      <w:proofErr w:type="gramEnd"/>
      <w:r w:rsidRPr="004943B2">
        <w:rPr>
          <w:rFonts w:asciiTheme="minorHAnsi" w:hAnsiTheme="minorHAnsi"/>
        </w:rPr>
        <w:t xml:space="preserve"> includes renovating or altering part of a building and can extend to cosmetic work</w:t>
      </w:r>
      <w:r w:rsidR="00C3589D" w:rsidRPr="004943B2">
        <w:rPr>
          <w:rFonts w:asciiTheme="minorHAnsi" w:hAnsiTheme="minorHAnsi"/>
        </w:rPr>
        <w:t>.</w:t>
      </w:r>
      <w:r w:rsidRPr="004943B2">
        <w:rPr>
          <w:rFonts w:asciiTheme="minorHAnsi" w:hAnsiTheme="minorHAnsi"/>
        </w:rPr>
        <w:t xml:space="preserve"> </w:t>
      </w:r>
    </w:p>
    <w:p w14:paraId="554BFE9C" w14:textId="7C98AED4" w:rsidR="00B84943" w:rsidRPr="004943B2" w:rsidRDefault="005F1CAC" w:rsidP="00B84943">
      <w:pPr>
        <w:spacing w:after="40"/>
        <w:rPr>
          <w:rFonts w:asciiTheme="minorHAnsi" w:hAnsiTheme="minorHAnsi"/>
        </w:rPr>
      </w:pPr>
      <w:r w:rsidRPr="004943B2">
        <w:rPr>
          <w:rFonts w:asciiTheme="minorHAnsi" w:hAnsiTheme="minorHAnsi"/>
        </w:rPr>
        <w:t>If owner-builder works</w:t>
      </w:r>
      <w:r w:rsidR="00DA4F30" w:rsidRPr="004943B2">
        <w:rPr>
          <w:rFonts w:asciiTheme="minorHAnsi" w:hAnsiTheme="minorHAnsi"/>
        </w:rPr>
        <w:t xml:space="preserve"> apply</w:t>
      </w:r>
      <w:r w:rsidR="00B45C86" w:rsidRPr="004943B2">
        <w:rPr>
          <w:rFonts w:asciiTheme="minorHAnsi" w:hAnsiTheme="minorHAnsi"/>
        </w:rPr>
        <w:t xml:space="preserve">, </w:t>
      </w:r>
      <w:r w:rsidR="003A19D4" w:rsidRPr="004943B2">
        <w:rPr>
          <w:rFonts w:asciiTheme="minorHAnsi" w:hAnsiTheme="minorHAnsi"/>
        </w:rPr>
        <w:t>and the vendor</w:t>
      </w:r>
      <w:r w:rsidR="007E3A25" w:rsidRPr="004943B2">
        <w:rPr>
          <w:rFonts w:asciiTheme="minorHAnsi" w:hAnsiTheme="minorHAnsi"/>
        </w:rPr>
        <w:t xml:space="preserve"> is selling within the </w:t>
      </w:r>
      <w:r w:rsidR="003A19D4" w:rsidRPr="004943B2">
        <w:rPr>
          <w:rFonts w:asciiTheme="minorHAnsi" w:hAnsiTheme="minorHAnsi"/>
        </w:rPr>
        <w:t>‘</w:t>
      </w:r>
      <w:r w:rsidR="007E3A25" w:rsidRPr="004943B2">
        <w:rPr>
          <w:rFonts w:asciiTheme="minorHAnsi" w:hAnsiTheme="minorHAnsi"/>
        </w:rPr>
        <w:t>prescribed period</w:t>
      </w:r>
      <w:r w:rsidR="003A19D4" w:rsidRPr="004943B2">
        <w:rPr>
          <w:rFonts w:asciiTheme="minorHAnsi" w:hAnsiTheme="minorHAnsi"/>
        </w:rPr>
        <w:t>’</w:t>
      </w:r>
      <w:r w:rsidR="003940C1" w:rsidRPr="004943B2">
        <w:rPr>
          <w:rFonts w:asciiTheme="minorHAnsi" w:hAnsiTheme="minorHAnsi"/>
        </w:rPr>
        <w:t xml:space="preserve"> (as defined under section 137B of the Building Act)</w:t>
      </w:r>
      <w:r w:rsidR="003A19D4" w:rsidRPr="004943B2">
        <w:rPr>
          <w:rFonts w:asciiTheme="minorHAnsi" w:hAnsiTheme="minorHAnsi"/>
        </w:rPr>
        <w:t>, two main requirements apply</w:t>
      </w:r>
      <w:r w:rsidR="00B84943" w:rsidRPr="004943B2">
        <w:rPr>
          <w:rFonts w:asciiTheme="minorHAnsi" w:hAnsiTheme="minorHAnsi"/>
        </w:rPr>
        <w:t>:</w:t>
      </w:r>
    </w:p>
    <w:p w14:paraId="2238F8F0" w14:textId="428C1ABF" w:rsidR="00B84943" w:rsidRPr="004943B2" w:rsidRDefault="00B84943" w:rsidP="000676C8">
      <w:pPr>
        <w:pStyle w:val="ListParagraph"/>
        <w:spacing w:after="40"/>
        <w:ind w:left="697" w:hanging="357"/>
        <w:rPr>
          <w:rFonts w:asciiTheme="minorHAnsi" w:hAnsiTheme="minorHAnsi"/>
        </w:rPr>
      </w:pPr>
      <w:r w:rsidRPr="004943B2">
        <w:rPr>
          <w:rFonts w:asciiTheme="minorHAnsi" w:hAnsiTheme="minorHAnsi"/>
        </w:rPr>
        <w:t>A</w:t>
      </w:r>
      <w:r w:rsidR="0044285E" w:rsidRPr="004943B2">
        <w:rPr>
          <w:rFonts w:asciiTheme="minorHAnsi" w:hAnsiTheme="minorHAnsi"/>
        </w:rPr>
        <w:t xml:space="preserve"> valid</w:t>
      </w:r>
      <w:r w:rsidRPr="004943B2">
        <w:rPr>
          <w:rFonts w:asciiTheme="minorHAnsi" w:hAnsiTheme="minorHAnsi"/>
        </w:rPr>
        <w:t xml:space="preserve"> owner-builder condition report i</w:t>
      </w:r>
      <w:r w:rsidR="0044285E" w:rsidRPr="004943B2">
        <w:rPr>
          <w:rFonts w:asciiTheme="minorHAnsi" w:hAnsiTheme="minorHAnsi"/>
        </w:rPr>
        <w:t xml:space="preserve">s provided to the purchaser prior to the vendor entering into the contract, </w:t>
      </w:r>
      <w:r w:rsidR="0044285E" w:rsidRPr="004943B2">
        <w:rPr>
          <w:rFonts w:asciiTheme="minorHAnsi" w:hAnsiTheme="minorHAnsi"/>
          <w:b/>
        </w:rPr>
        <w:t>irrespective of the value of the owner-builder works</w:t>
      </w:r>
      <w:r w:rsidR="00A9645E" w:rsidRPr="004943B2">
        <w:rPr>
          <w:rFonts w:asciiTheme="minorHAnsi" w:hAnsiTheme="minorHAnsi"/>
        </w:rPr>
        <w:t>, and</w:t>
      </w:r>
    </w:p>
    <w:p w14:paraId="08CBF846" w14:textId="2B7376F5" w:rsidR="00B84943" w:rsidRPr="004943B2" w:rsidRDefault="0044285E" w:rsidP="000676C8">
      <w:pPr>
        <w:pStyle w:val="ListParagraph"/>
        <w:spacing w:after="40"/>
        <w:ind w:left="697" w:hanging="357"/>
        <w:rPr>
          <w:rFonts w:asciiTheme="minorHAnsi" w:hAnsiTheme="minorHAnsi"/>
        </w:rPr>
      </w:pPr>
      <w:r w:rsidRPr="004943B2">
        <w:rPr>
          <w:rFonts w:asciiTheme="minorHAnsi" w:hAnsiTheme="minorHAnsi"/>
        </w:rPr>
        <w:t xml:space="preserve">Owner-builder </w:t>
      </w:r>
      <w:r w:rsidR="00AC571F" w:rsidRPr="004943B2">
        <w:rPr>
          <w:rFonts w:asciiTheme="minorHAnsi" w:hAnsiTheme="minorHAnsi"/>
        </w:rPr>
        <w:t>statutory insurance scheme must be obtained</w:t>
      </w:r>
      <w:r w:rsidR="005D3375" w:rsidRPr="004943B2">
        <w:rPr>
          <w:rFonts w:asciiTheme="minorHAnsi" w:hAnsiTheme="minorHAnsi"/>
        </w:rPr>
        <w:t>, disclose</w:t>
      </w:r>
      <w:r w:rsidR="00D75C29" w:rsidRPr="004943B2">
        <w:rPr>
          <w:rFonts w:asciiTheme="minorHAnsi" w:hAnsiTheme="minorHAnsi"/>
        </w:rPr>
        <w:t>d</w:t>
      </w:r>
      <w:r w:rsidR="005D3375" w:rsidRPr="004943B2">
        <w:rPr>
          <w:rFonts w:asciiTheme="minorHAnsi" w:hAnsiTheme="minorHAnsi"/>
        </w:rPr>
        <w:t xml:space="preserve"> in the section 32 </w:t>
      </w:r>
      <w:r w:rsidR="005D7AB2" w:rsidRPr="004943B2">
        <w:rPr>
          <w:rFonts w:asciiTheme="minorHAnsi" w:hAnsiTheme="minorHAnsi"/>
        </w:rPr>
        <w:t>statement,</w:t>
      </w:r>
      <w:r w:rsidR="005D3375" w:rsidRPr="004943B2">
        <w:rPr>
          <w:rFonts w:asciiTheme="minorHAnsi" w:hAnsiTheme="minorHAnsi"/>
        </w:rPr>
        <w:t xml:space="preserve"> and</w:t>
      </w:r>
      <w:r w:rsidR="00D75C29" w:rsidRPr="004943B2">
        <w:rPr>
          <w:rFonts w:asciiTheme="minorHAnsi" w:hAnsiTheme="minorHAnsi"/>
        </w:rPr>
        <w:t xml:space="preserve"> for convenience</w:t>
      </w:r>
      <w:r w:rsidR="005D3375" w:rsidRPr="004943B2">
        <w:rPr>
          <w:rFonts w:asciiTheme="minorHAnsi" w:hAnsiTheme="minorHAnsi"/>
        </w:rPr>
        <w:t xml:space="preserve"> the notice of cover annexed to the section 32 statement. This</w:t>
      </w:r>
      <w:r w:rsidR="002A4101" w:rsidRPr="004943B2">
        <w:rPr>
          <w:rFonts w:asciiTheme="minorHAnsi" w:hAnsiTheme="minorHAnsi"/>
        </w:rPr>
        <w:t xml:space="preserve"> insurance</w:t>
      </w:r>
      <w:r w:rsidR="005D3375" w:rsidRPr="004943B2">
        <w:rPr>
          <w:rFonts w:asciiTheme="minorHAnsi" w:hAnsiTheme="minorHAnsi"/>
        </w:rPr>
        <w:t xml:space="preserve"> </w:t>
      </w:r>
      <w:r w:rsidR="002A4101" w:rsidRPr="004943B2">
        <w:rPr>
          <w:rFonts w:asciiTheme="minorHAnsi" w:hAnsiTheme="minorHAnsi"/>
        </w:rPr>
        <w:t>requirement</w:t>
      </w:r>
      <w:r w:rsidR="005D3375" w:rsidRPr="004943B2">
        <w:rPr>
          <w:rFonts w:asciiTheme="minorHAnsi" w:hAnsiTheme="minorHAnsi"/>
        </w:rPr>
        <w:t xml:space="preserve"> applies in narrower circumstances</w:t>
      </w:r>
      <w:r w:rsidR="004205F2" w:rsidRPr="004943B2">
        <w:rPr>
          <w:rFonts w:asciiTheme="minorHAnsi" w:hAnsiTheme="minorHAnsi"/>
        </w:rPr>
        <w:t>, discussed below</w:t>
      </w:r>
      <w:r w:rsidR="005D3375" w:rsidRPr="004943B2">
        <w:rPr>
          <w:rFonts w:asciiTheme="minorHAnsi" w:hAnsiTheme="minorHAnsi"/>
        </w:rPr>
        <w:t xml:space="preserve">. </w:t>
      </w:r>
    </w:p>
    <w:p w14:paraId="2088E33B" w14:textId="634CAC77" w:rsidR="00BD6D05" w:rsidRPr="004943B2" w:rsidRDefault="00B84943" w:rsidP="00B84943">
      <w:pPr>
        <w:spacing w:after="40"/>
        <w:rPr>
          <w:rFonts w:asciiTheme="minorHAnsi" w:hAnsiTheme="minorHAnsi"/>
        </w:rPr>
      </w:pPr>
      <w:r w:rsidRPr="004943B2">
        <w:rPr>
          <w:rFonts w:asciiTheme="minorHAnsi" w:hAnsiTheme="minorHAnsi"/>
        </w:rPr>
        <w:t xml:space="preserve">From 1 July 2026 the statutory insurance scheme </w:t>
      </w:r>
      <w:r w:rsidR="00331D46" w:rsidRPr="004943B2">
        <w:rPr>
          <w:rFonts w:asciiTheme="minorHAnsi" w:hAnsiTheme="minorHAnsi"/>
        </w:rPr>
        <w:t xml:space="preserve">for </w:t>
      </w:r>
      <w:r w:rsidRPr="004943B2" w:rsidDel="00331D46">
        <w:rPr>
          <w:rFonts w:asciiTheme="minorHAnsi" w:hAnsiTheme="minorHAnsi"/>
        </w:rPr>
        <w:t>owner-</w:t>
      </w:r>
      <w:proofErr w:type="gramStart"/>
      <w:r w:rsidRPr="004943B2" w:rsidDel="00331D46">
        <w:rPr>
          <w:rFonts w:asciiTheme="minorHAnsi" w:hAnsiTheme="minorHAnsi"/>
        </w:rPr>
        <w:t>builder</w:t>
      </w:r>
      <w:proofErr w:type="gramEnd"/>
      <w:r w:rsidRPr="004943B2" w:rsidDel="00331D46">
        <w:rPr>
          <w:rFonts w:asciiTheme="minorHAnsi" w:hAnsiTheme="minorHAnsi"/>
        </w:rPr>
        <w:t xml:space="preserve"> </w:t>
      </w:r>
      <w:r w:rsidR="00C81201" w:rsidRPr="004943B2">
        <w:rPr>
          <w:rFonts w:asciiTheme="minorHAnsi" w:hAnsiTheme="minorHAnsi"/>
        </w:rPr>
        <w:t xml:space="preserve">is only required </w:t>
      </w:r>
      <w:r w:rsidR="00BD6D05" w:rsidRPr="004943B2">
        <w:rPr>
          <w:rFonts w:asciiTheme="minorHAnsi" w:hAnsiTheme="minorHAnsi"/>
        </w:rPr>
        <w:t>where:</w:t>
      </w:r>
    </w:p>
    <w:p w14:paraId="002B50CE" w14:textId="50D21C27" w:rsidR="00BD6D05" w:rsidRPr="004943B2" w:rsidRDefault="00BD6D05" w:rsidP="00BD6D05">
      <w:pPr>
        <w:pStyle w:val="ListParagraph"/>
        <w:numPr>
          <w:ilvl w:val="0"/>
          <w:numId w:val="21"/>
        </w:numPr>
        <w:spacing w:after="40"/>
        <w:rPr>
          <w:rFonts w:asciiTheme="minorHAnsi" w:hAnsiTheme="minorHAnsi"/>
        </w:rPr>
      </w:pPr>
      <w:r w:rsidRPr="004943B2">
        <w:rPr>
          <w:rFonts w:asciiTheme="minorHAnsi" w:hAnsiTheme="minorHAnsi"/>
        </w:rPr>
        <w:t>The value of the domestic building work carried out by the owner-builder was greater than $20,000.00, and</w:t>
      </w:r>
    </w:p>
    <w:p w14:paraId="5568990E" w14:textId="4C4D28B9" w:rsidR="00BD6D05" w:rsidRPr="004943B2" w:rsidRDefault="00BD6D05" w:rsidP="00BD6D05">
      <w:pPr>
        <w:pStyle w:val="ListParagraph"/>
        <w:numPr>
          <w:ilvl w:val="0"/>
          <w:numId w:val="21"/>
        </w:numPr>
        <w:spacing w:after="40"/>
        <w:rPr>
          <w:rFonts w:asciiTheme="minorHAnsi" w:hAnsiTheme="minorHAnsi"/>
        </w:rPr>
      </w:pPr>
      <w:r w:rsidRPr="004943B2">
        <w:rPr>
          <w:rFonts w:asciiTheme="minorHAnsi" w:hAnsiTheme="minorHAnsi"/>
        </w:rPr>
        <w:lastRenderedPageBreak/>
        <w:t>Before commencing the work, the owner-builder obtained a certificate of consent from the Building and Plumbing Commission</w:t>
      </w:r>
      <w:r w:rsidR="00D5186C" w:rsidRPr="004943B2">
        <w:rPr>
          <w:rFonts w:asciiTheme="minorHAnsi" w:hAnsiTheme="minorHAnsi"/>
        </w:rPr>
        <w:t xml:space="preserve"> (</w:t>
      </w:r>
      <w:r w:rsidR="00D5186C" w:rsidRPr="004943B2">
        <w:rPr>
          <w:rFonts w:asciiTheme="minorHAnsi" w:hAnsiTheme="minorHAnsi"/>
          <w:b/>
        </w:rPr>
        <w:t>B&amp;PC</w:t>
      </w:r>
      <w:r w:rsidR="00D5186C" w:rsidRPr="004943B2">
        <w:rPr>
          <w:rFonts w:asciiTheme="minorHAnsi" w:hAnsiTheme="minorHAnsi"/>
        </w:rPr>
        <w:t>)</w:t>
      </w:r>
      <w:r w:rsidRPr="004943B2">
        <w:rPr>
          <w:rFonts w:asciiTheme="minorHAnsi" w:hAnsiTheme="minorHAnsi"/>
        </w:rPr>
        <w:t>.</w:t>
      </w:r>
    </w:p>
    <w:p w14:paraId="734C0D55" w14:textId="71CF6A73" w:rsidR="00AD280E" w:rsidRPr="004943B2" w:rsidRDefault="00121EE6" w:rsidP="00B84943">
      <w:pPr>
        <w:spacing w:after="40"/>
        <w:rPr>
          <w:rFonts w:asciiTheme="minorHAnsi" w:hAnsiTheme="minorHAnsi"/>
        </w:rPr>
      </w:pPr>
      <w:r w:rsidRPr="004943B2">
        <w:rPr>
          <w:rFonts w:asciiTheme="minorHAnsi" w:hAnsiTheme="minorHAnsi"/>
        </w:rPr>
        <w:t xml:space="preserve">If the owner-builder did not obtain the certificate of consent before starting the </w:t>
      </w:r>
      <w:proofErr w:type="gramStart"/>
      <w:r w:rsidRPr="004943B2">
        <w:rPr>
          <w:rFonts w:asciiTheme="minorHAnsi" w:hAnsiTheme="minorHAnsi"/>
        </w:rPr>
        <w:t>works</w:t>
      </w:r>
      <w:proofErr w:type="gramEnd"/>
      <w:r w:rsidRPr="004943B2">
        <w:rPr>
          <w:rFonts w:asciiTheme="minorHAnsi" w:hAnsiTheme="minorHAnsi"/>
        </w:rPr>
        <w:t xml:space="preserve">, the owner-builder cannot retrospectively obtain the certificate of consent. This means that in practice, if the </w:t>
      </w:r>
      <w:r w:rsidR="00E13E1D" w:rsidRPr="004943B2">
        <w:rPr>
          <w:rFonts w:asciiTheme="minorHAnsi" w:hAnsiTheme="minorHAnsi"/>
        </w:rPr>
        <w:t xml:space="preserve">value of works was greater </w:t>
      </w:r>
      <w:r w:rsidR="00172BB0" w:rsidRPr="004943B2">
        <w:rPr>
          <w:rFonts w:asciiTheme="minorHAnsi" w:hAnsiTheme="minorHAnsi"/>
        </w:rPr>
        <w:t>than</w:t>
      </w:r>
      <w:r w:rsidR="00E13E1D" w:rsidRPr="004943B2">
        <w:rPr>
          <w:rFonts w:asciiTheme="minorHAnsi" w:hAnsiTheme="minorHAnsi"/>
        </w:rPr>
        <w:t xml:space="preserve"> $20,000 but no certificate of consent was obtained, then the owner-builder insurance obligations under section 137B of the Building Act and section 32B of the Sale of Land Act do not apply. </w:t>
      </w:r>
    </w:p>
    <w:p w14:paraId="07AFABD1" w14:textId="0E44AFC6" w:rsidR="00CE3F23" w:rsidRPr="004943B2" w:rsidRDefault="007C0A99" w:rsidP="007C0A99">
      <w:pPr>
        <w:spacing w:after="40"/>
        <w:rPr>
          <w:rFonts w:asciiTheme="minorHAnsi" w:hAnsiTheme="minorHAnsi"/>
        </w:rPr>
      </w:pPr>
      <w:r w:rsidRPr="004943B2">
        <w:rPr>
          <w:rFonts w:asciiTheme="minorHAnsi" w:hAnsiTheme="minorHAnsi"/>
        </w:rPr>
        <w:t xml:space="preserve">If owner-builder works have occurred, and the vendor does not comply with the requirements under section 137B of the Building Act </w:t>
      </w:r>
      <w:r w:rsidRPr="004943B2">
        <w:rPr>
          <w:rFonts w:asciiTheme="minorHAnsi" w:hAnsiTheme="minorHAnsi"/>
          <w:b/>
          <w:bCs/>
        </w:rPr>
        <w:t>before</w:t>
      </w:r>
      <w:r w:rsidRPr="004943B2">
        <w:rPr>
          <w:rFonts w:asciiTheme="minorHAnsi" w:hAnsiTheme="minorHAnsi"/>
        </w:rPr>
        <w:t xml:space="preserve"> the vendor enters into the contract, the purchaser may avoid the contract at any time before settlement, and the vendor commits an offence. </w:t>
      </w:r>
    </w:p>
    <w:p w14:paraId="22128345" w14:textId="2FB916CD" w:rsidR="007C0A99" w:rsidRPr="004943B2" w:rsidRDefault="00CE3F23" w:rsidP="007C0A99">
      <w:pPr>
        <w:spacing w:after="40"/>
        <w:rPr>
          <w:rFonts w:asciiTheme="minorHAnsi" w:hAnsiTheme="minorHAnsi"/>
        </w:rPr>
      </w:pPr>
      <w:r w:rsidRPr="004943B2">
        <w:rPr>
          <w:rFonts w:asciiTheme="minorHAnsi" w:hAnsiTheme="minorHAnsi"/>
        </w:rPr>
        <w:t xml:space="preserve">Unlike section 32K of the Sale of Land Act, section 137B of the Building Act is a drop-dead provision that contains no </w:t>
      </w:r>
      <w:proofErr w:type="spellStart"/>
      <w:r w:rsidRPr="004943B2">
        <w:rPr>
          <w:rFonts w:asciiTheme="minorHAnsi" w:hAnsiTheme="minorHAnsi"/>
        </w:rPr>
        <w:t>defence</w:t>
      </w:r>
      <w:proofErr w:type="spellEnd"/>
      <w:r w:rsidRPr="004943B2">
        <w:rPr>
          <w:rFonts w:asciiTheme="minorHAnsi" w:hAnsiTheme="minorHAnsi"/>
        </w:rPr>
        <w:t xml:space="preserve"> mechanism for a vendor.</w:t>
      </w:r>
    </w:p>
    <w:p w14:paraId="6B253C0F" w14:textId="77777777" w:rsidR="00B84943" w:rsidRPr="00942C14" w:rsidRDefault="00B84943" w:rsidP="00B84943">
      <w:pPr>
        <w:spacing w:before="40" w:after="40"/>
        <w:rPr>
          <w:rStyle w:val="Hyperlink"/>
        </w:rPr>
      </w:pPr>
      <w:r w:rsidRPr="004943B2">
        <w:rPr>
          <w:rFonts w:asciiTheme="minorHAnsi" w:hAnsiTheme="minorHAnsi"/>
          <w:i/>
          <w:sz w:val="17"/>
        </w:rPr>
        <w:t>Further information</w:t>
      </w:r>
      <w:r w:rsidRPr="00942C14">
        <w:rPr>
          <w:rStyle w:val="Hyperlink"/>
        </w:rPr>
        <w:t xml:space="preserve">:  </w:t>
      </w:r>
      <w:hyperlink r:id="rId73">
        <w:r w:rsidRPr="00942C14">
          <w:rPr>
            <w:rStyle w:val="Hyperlink"/>
          </w:rPr>
          <w:t>Acting for a vendor? Changes to owner-builder insurance from 1 July 2026</w:t>
        </w:r>
      </w:hyperlink>
      <w:r w:rsidRPr="004943B2">
        <w:rPr>
          <w:rFonts w:asciiTheme="minorHAnsi" w:hAnsiTheme="minorHAnsi"/>
          <w:sz w:val="17"/>
        </w:rPr>
        <w:t xml:space="preserve">   |   </w:t>
      </w:r>
      <w:hyperlink r:id="rId74">
        <w:r w:rsidRPr="00942C14">
          <w:rPr>
            <w:rStyle w:val="Hyperlink"/>
          </w:rPr>
          <w:t>Owner-builders and the section 32: how the law changed on 1 July (webinar)</w:t>
        </w:r>
      </w:hyperlink>
      <w:r w:rsidRPr="004943B2">
        <w:rPr>
          <w:rFonts w:asciiTheme="minorHAnsi" w:hAnsiTheme="minorHAnsi"/>
          <w:sz w:val="17"/>
        </w:rPr>
        <w:t xml:space="preserve">   |   </w:t>
      </w:r>
      <w:hyperlink r:id="rId75">
        <w:r w:rsidRPr="00942C14">
          <w:rPr>
            <w:rStyle w:val="Hyperlink"/>
          </w:rPr>
          <w:t>Section 137B of the Building Act</w:t>
        </w:r>
      </w:hyperlink>
      <w:r w:rsidRPr="004943B2">
        <w:rPr>
          <w:rFonts w:asciiTheme="minorHAnsi" w:hAnsiTheme="minorHAnsi"/>
          <w:sz w:val="17"/>
        </w:rPr>
        <w:t xml:space="preserve">   |   </w:t>
      </w:r>
      <w:hyperlink r:id="rId76">
        <w:r w:rsidRPr="00942C14">
          <w:rPr>
            <w:rStyle w:val="Hyperlink"/>
          </w:rPr>
          <w:t>Section 25B of the Building Act</w:t>
        </w:r>
      </w:hyperlink>
      <w:r w:rsidRPr="004943B2">
        <w:rPr>
          <w:rFonts w:asciiTheme="minorHAnsi" w:hAnsiTheme="minorHAnsi"/>
          <w:sz w:val="17"/>
        </w:rPr>
        <w:t xml:space="preserve">   |   </w:t>
      </w:r>
      <w:hyperlink r:id="rId77">
        <w:r w:rsidRPr="00942C14">
          <w:rPr>
            <w:rStyle w:val="Hyperlink"/>
          </w:rPr>
          <w:t>Section 137I of the Building Act</w:t>
        </w:r>
      </w:hyperlink>
      <w:r w:rsidRPr="004943B2">
        <w:rPr>
          <w:rFonts w:asciiTheme="minorHAnsi" w:hAnsiTheme="minorHAnsi"/>
          <w:sz w:val="17"/>
        </w:rPr>
        <w:t xml:space="preserve">   |   </w:t>
      </w:r>
      <w:hyperlink r:id="rId78">
        <w:r w:rsidRPr="00942C14">
          <w:rPr>
            <w:rStyle w:val="Hyperlink"/>
          </w:rPr>
          <w:t>Section 32B of the Sale of Land Act</w:t>
        </w:r>
      </w:hyperlink>
      <w:r w:rsidRPr="004943B2">
        <w:rPr>
          <w:rFonts w:asciiTheme="minorHAnsi" w:hAnsiTheme="minorHAnsi"/>
          <w:sz w:val="17"/>
        </w:rPr>
        <w:t xml:space="preserve">   |   </w:t>
      </w:r>
      <w:hyperlink r:id="rId79">
        <w:r w:rsidRPr="00942C14">
          <w:rPr>
            <w:rStyle w:val="Hyperlink"/>
          </w:rPr>
          <w:t>Building (Statutory Insurance Scheme) Regulations 2026 (Vic)</w:t>
        </w:r>
      </w:hyperlink>
      <w:r w:rsidRPr="004943B2">
        <w:rPr>
          <w:rFonts w:asciiTheme="minorHAnsi" w:hAnsiTheme="minorHAnsi"/>
          <w:sz w:val="17"/>
        </w:rPr>
        <w:t xml:space="preserve">   |   </w:t>
      </w:r>
      <w:hyperlink r:id="rId80">
        <w:r w:rsidRPr="00942C14">
          <w:rPr>
            <w:rStyle w:val="Hyperlink"/>
          </w:rPr>
          <w:t>BPC approved distributors</w:t>
        </w:r>
      </w:hyperlink>
    </w:p>
    <w:p w14:paraId="0E7DF6FA" w14:textId="6AAC7915"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E28  Road access and bushfire</w:t>
      </w:r>
    </w:p>
    <w:p w14:paraId="11787B1D" w14:textId="0DB15A04" w:rsidR="00B84943" w:rsidRPr="004943B2" w:rsidRDefault="00B84943" w:rsidP="00B84943">
      <w:pPr>
        <w:spacing w:after="40"/>
        <w:rPr>
          <w:rFonts w:asciiTheme="minorHAnsi" w:hAnsiTheme="minorHAnsi"/>
        </w:rPr>
      </w:pPr>
      <w:r w:rsidRPr="004943B2">
        <w:rPr>
          <w:rFonts w:asciiTheme="minorHAnsi" w:hAnsiTheme="minorHAnsi"/>
        </w:rPr>
        <w:t xml:space="preserve">Section 3.2 of the section 32 statement requires disclosure where there is no access to the property by road, which matters for </w:t>
      </w:r>
      <w:r w:rsidR="0055182C" w:rsidRPr="004943B2">
        <w:rPr>
          <w:rFonts w:asciiTheme="minorHAnsi" w:hAnsiTheme="minorHAnsi"/>
        </w:rPr>
        <w:t>example</w:t>
      </w:r>
      <w:r w:rsidR="00CA4E99" w:rsidRPr="004943B2">
        <w:rPr>
          <w:rFonts w:asciiTheme="minorHAnsi" w:hAnsiTheme="minorHAnsi"/>
        </w:rPr>
        <w:t>, where the land is</w:t>
      </w:r>
      <w:r w:rsidRPr="004943B2">
        <w:rPr>
          <w:rFonts w:asciiTheme="minorHAnsi" w:hAnsiTheme="minorHAnsi"/>
        </w:rPr>
        <w:t xml:space="preserve"> landlocked </w:t>
      </w:r>
      <w:r w:rsidR="00605792" w:rsidRPr="004943B2">
        <w:rPr>
          <w:rFonts w:asciiTheme="minorHAnsi" w:hAnsiTheme="minorHAnsi"/>
        </w:rPr>
        <w:t>or</w:t>
      </w:r>
      <w:r w:rsidRPr="004943B2">
        <w:rPr>
          <w:rFonts w:asciiTheme="minorHAnsi" w:hAnsiTheme="minorHAnsi"/>
        </w:rPr>
        <w:t xml:space="preserve"> </w:t>
      </w:r>
      <w:r w:rsidR="00CF142C" w:rsidRPr="004943B2">
        <w:rPr>
          <w:rFonts w:asciiTheme="minorHAnsi" w:hAnsiTheme="minorHAnsi"/>
        </w:rPr>
        <w:t>the only access to the land is via</w:t>
      </w:r>
      <w:r w:rsidRPr="004943B2">
        <w:rPr>
          <w:rFonts w:asciiTheme="minorHAnsi" w:hAnsiTheme="minorHAnsi"/>
        </w:rPr>
        <w:t xml:space="preserve"> </w:t>
      </w:r>
      <w:r w:rsidR="00CA4E99" w:rsidRPr="004943B2">
        <w:rPr>
          <w:rFonts w:asciiTheme="minorHAnsi" w:hAnsiTheme="minorHAnsi"/>
        </w:rPr>
        <w:t xml:space="preserve">an access right or right of carriageway over </w:t>
      </w:r>
      <w:r w:rsidRPr="004943B2">
        <w:rPr>
          <w:rFonts w:asciiTheme="minorHAnsi" w:hAnsiTheme="minorHAnsi"/>
        </w:rPr>
        <w:t xml:space="preserve">a </w:t>
      </w:r>
      <w:r w:rsidR="00CA4E99" w:rsidRPr="004943B2">
        <w:rPr>
          <w:rFonts w:asciiTheme="minorHAnsi" w:hAnsiTheme="minorHAnsi"/>
        </w:rPr>
        <w:t>third party’s land.</w:t>
      </w:r>
      <w:r w:rsidRPr="004943B2">
        <w:rPr>
          <w:rFonts w:asciiTheme="minorHAnsi" w:hAnsiTheme="minorHAnsi"/>
        </w:rPr>
        <w:t xml:space="preserve"> Section 3.3 of the section 32 statement requires </w:t>
      </w:r>
      <w:proofErr w:type="gramStart"/>
      <w:r w:rsidRPr="004943B2">
        <w:rPr>
          <w:rFonts w:asciiTheme="minorHAnsi" w:hAnsiTheme="minorHAnsi"/>
        </w:rPr>
        <w:t>disclosure</w:t>
      </w:r>
      <w:proofErr w:type="gramEnd"/>
      <w:r w:rsidRPr="004943B2">
        <w:rPr>
          <w:rFonts w:asciiTheme="minorHAnsi" w:hAnsiTheme="minorHAnsi"/>
        </w:rPr>
        <w:t xml:space="preserve"> where the land is in a designated bushfire prone area. Both can be checked against the free property report, available from</w:t>
      </w:r>
      <w:r w:rsidR="00D177EA" w:rsidRPr="004943B2">
        <w:rPr>
          <w:rFonts w:asciiTheme="minorHAnsi" w:hAnsiTheme="minorHAnsi"/>
        </w:rPr>
        <w:t xml:space="preserve"> </w:t>
      </w:r>
      <w:hyperlink r:id="rId81" w:history="1">
        <w:r w:rsidR="00D177EA" w:rsidRPr="004943B2">
          <w:rPr>
            <w:rStyle w:val="Hyperlink"/>
          </w:rPr>
          <w:t>https://www.land.vic.gov.au/property-and-parcel-search</w:t>
        </w:r>
      </w:hyperlink>
      <w:r w:rsidRPr="004943B2">
        <w:rPr>
          <w:rFonts w:asciiTheme="minorHAnsi" w:hAnsiTheme="minorHAnsi"/>
        </w:rPr>
        <w:t>.</w:t>
      </w:r>
    </w:p>
    <w:p w14:paraId="5617B40B" w14:textId="77777777" w:rsidR="00B84943" w:rsidRPr="004943B2" w:rsidRDefault="00B84943" w:rsidP="00B84943">
      <w:pPr>
        <w:spacing w:before="40" w:after="40"/>
        <w:rPr>
          <w:rFonts w:asciiTheme="minorHAnsi" w:hAnsiTheme="minorHAnsi"/>
        </w:rPr>
      </w:pPr>
      <w:r w:rsidRPr="004943B2">
        <w:rPr>
          <w:rFonts w:asciiTheme="minorHAnsi" w:hAnsiTheme="minorHAnsi"/>
          <w:i/>
          <w:sz w:val="17"/>
          <w:szCs w:val="17"/>
        </w:rPr>
        <w:t xml:space="preserve">Further information:  </w:t>
      </w:r>
      <w:hyperlink r:id="rId82">
        <w:r w:rsidRPr="00942C14">
          <w:rPr>
            <w:rStyle w:val="Hyperlink"/>
          </w:rPr>
          <w:t>Section 32C of the Sale of Land Act</w:t>
        </w:r>
      </w:hyperlink>
    </w:p>
    <w:p w14:paraId="6662DFC9" w14:textId="3048B195"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szCs w:val="21"/>
        </w:rPr>
        <w:t>E29  Planning certificate</w:t>
      </w:r>
    </w:p>
    <w:p w14:paraId="7A302165" w14:textId="6DD51C4D" w:rsidR="00B84943" w:rsidRPr="004943B2" w:rsidRDefault="00B84943" w:rsidP="00B84943">
      <w:pPr>
        <w:spacing w:after="40"/>
        <w:rPr>
          <w:rFonts w:asciiTheme="minorHAnsi" w:hAnsiTheme="minorHAnsi"/>
        </w:rPr>
      </w:pPr>
      <w:r w:rsidRPr="004943B2">
        <w:rPr>
          <w:rFonts w:asciiTheme="minorHAnsi" w:hAnsiTheme="minorHAnsi"/>
        </w:rPr>
        <w:t xml:space="preserve">Section 3.4 of the section 32 statement requires planning scheme particulars to be disclosed. This information may be obtained from the free planning report or the paid planning certificate. However, the paid planning certificate is the safer choice, as it may disclose proposed amendments to the planning scheme that apply to the property, which would need to be disclosed under section 32D of the Sale of Land Act. Similarly, a planning certificate may have additional value where rezoning is </w:t>
      </w:r>
      <w:r w:rsidR="008403DA" w:rsidRPr="004943B2">
        <w:rPr>
          <w:rFonts w:asciiTheme="minorHAnsi" w:hAnsiTheme="minorHAnsi"/>
        </w:rPr>
        <w:t>identified</w:t>
      </w:r>
      <w:r w:rsidRPr="004943B2">
        <w:rPr>
          <w:rFonts w:asciiTheme="minorHAnsi" w:hAnsiTheme="minorHAnsi"/>
        </w:rPr>
        <w:t xml:space="preserve">, because </w:t>
      </w:r>
      <w:r w:rsidR="008403DA" w:rsidRPr="004943B2">
        <w:rPr>
          <w:rFonts w:asciiTheme="minorHAnsi" w:hAnsiTheme="minorHAnsi"/>
        </w:rPr>
        <w:t>it may assist the practitioner to consider</w:t>
      </w:r>
      <w:r w:rsidRPr="004943B2">
        <w:rPr>
          <w:rFonts w:asciiTheme="minorHAnsi" w:hAnsiTheme="minorHAnsi"/>
        </w:rPr>
        <w:t xml:space="preserve"> the potential </w:t>
      </w:r>
      <w:r w:rsidR="00E23196" w:rsidRPr="004943B2">
        <w:rPr>
          <w:rFonts w:asciiTheme="minorHAnsi" w:hAnsiTheme="minorHAnsi"/>
        </w:rPr>
        <w:t>WGT</w:t>
      </w:r>
      <w:r w:rsidRPr="004943B2">
        <w:rPr>
          <w:rFonts w:asciiTheme="minorHAnsi" w:hAnsiTheme="minorHAnsi"/>
        </w:rPr>
        <w:t xml:space="preserve"> consequences</w:t>
      </w:r>
      <w:r w:rsidR="008403DA" w:rsidRPr="004943B2">
        <w:rPr>
          <w:rFonts w:asciiTheme="minorHAnsi" w:hAnsiTheme="minorHAnsi"/>
        </w:rPr>
        <w:t xml:space="preserve"> to the client</w:t>
      </w:r>
      <w:r w:rsidRPr="004943B2">
        <w:rPr>
          <w:rFonts w:asciiTheme="minorHAnsi" w:hAnsiTheme="minorHAnsi"/>
        </w:rPr>
        <w:t>.</w:t>
      </w:r>
    </w:p>
    <w:p w14:paraId="237E17CE" w14:textId="77777777" w:rsidR="00B84943" w:rsidRPr="004943B2" w:rsidRDefault="00B84943" w:rsidP="00B84943">
      <w:pPr>
        <w:spacing w:before="40" w:after="40"/>
        <w:rPr>
          <w:rFonts w:asciiTheme="minorHAnsi" w:hAnsiTheme="minorHAnsi"/>
        </w:rPr>
      </w:pPr>
      <w:r w:rsidRPr="004943B2">
        <w:rPr>
          <w:rFonts w:asciiTheme="minorHAnsi" w:hAnsiTheme="minorHAnsi"/>
          <w:i/>
          <w:sz w:val="17"/>
        </w:rPr>
        <w:t xml:space="preserve">Further information:  </w:t>
      </w:r>
      <w:hyperlink r:id="rId83">
        <w:r w:rsidRPr="00942C14">
          <w:rPr>
            <w:rStyle w:val="Hyperlink"/>
          </w:rPr>
          <w:t>Section 32C of the Sale of Land Act</w:t>
        </w:r>
      </w:hyperlink>
    </w:p>
    <w:p w14:paraId="3763F3E8" w14:textId="5084637E"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szCs w:val="21"/>
        </w:rPr>
        <w:t>E30  Notices, orders and declarations</w:t>
      </w:r>
    </w:p>
    <w:p w14:paraId="1090DC5B" w14:textId="44967F67" w:rsidR="00B84943" w:rsidRPr="004943B2" w:rsidRDefault="00B84943" w:rsidP="00B84943">
      <w:pPr>
        <w:spacing w:after="40"/>
        <w:rPr>
          <w:rFonts w:asciiTheme="minorHAnsi" w:hAnsiTheme="minorHAnsi"/>
          <w:highlight w:val="yellow"/>
        </w:rPr>
      </w:pPr>
      <w:r w:rsidRPr="004943B2">
        <w:rPr>
          <w:rFonts w:asciiTheme="minorHAnsi" w:hAnsiTheme="minorHAnsi"/>
        </w:rPr>
        <w:t>Section 4.1 of the section 32 statement covers notices, orders, declarations, reports, recommendations and approved proposals of a public authority or government department directly and currently affecting the land, of which the vendor might reasonably be expected to have knowledge.</w:t>
      </w:r>
    </w:p>
    <w:p w14:paraId="574328D1" w14:textId="2A9BBD19" w:rsidR="004020F6" w:rsidRPr="004943B2" w:rsidRDefault="001439B2" w:rsidP="1A3134AD">
      <w:pPr>
        <w:spacing w:after="40"/>
        <w:rPr>
          <w:rFonts w:asciiTheme="minorHAnsi" w:hAnsiTheme="minorHAnsi"/>
        </w:rPr>
      </w:pPr>
      <w:r w:rsidRPr="004943B2">
        <w:rPr>
          <w:rFonts w:asciiTheme="minorHAnsi" w:hAnsiTheme="minorHAnsi"/>
        </w:rPr>
        <w:t>For example, claims against vendor practitioners have arisen where a vendor failed to disclose illegal building work notices from councils, or planning permits that apply to the land.</w:t>
      </w:r>
    </w:p>
    <w:p w14:paraId="050BF4C3" w14:textId="46304F48" w:rsidR="002C254B" w:rsidRPr="004943B2" w:rsidRDefault="00B47764" w:rsidP="1A3134AD">
      <w:pPr>
        <w:spacing w:after="40"/>
        <w:rPr>
          <w:rFonts w:asciiTheme="minorHAnsi" w:hAnsiTheme="minorHAnsi"/>
        </w:rPr>
      </w:pPr>
      <w:r w:rsidRPr="004943B2">
        <w:rPr>
          <w:rFonts w:asciiTheme="minorHAnsi" w:hAnsiTheme="minorHAnsi"/>
        </w:rPr>
        <w:t xml:space="preserve">Section 4.2 of the section 32 statement requires disclosure of </w:t>
      </w:r>
      <w:r w:rsidR="00CD2AAA" w:rsidRPr="004943B2">
        <w:rPr>
          <w:rFonts w:asciiTheme="minorHAnsi" w:hAnsiTheme="minorHAnsi"/>
        </w:rPr>
        <w:t xml:space="preserve">any notices, property management plans, reports or orders in respect of the </w:t>
      </w:r>
      <w:r w:rsidR="00600F62" w:rsidRPr="004943B2">
        <w:rPr>
          <w:rFonts w:asciiTheme="minorHAnsi" w:hAnsiTheme="minorHAnsi"/>
        </w:rPr>
        <w:t xml:space="preserve">land </w:t>
      </w:r>
      <w:r w:rsidR="00CD2AAA" w:rsidRPr="004943B2">
        <w:rPr>
          <w:rFonts w:asciiTheme="minorHAnsi" w:hAnsiTheme="minorHAnsi"/>
        </w:rPr>
        <w:t>issued by a government department or public authority in relation to livestock disease or contamination by agricultural chemicals affecting the ongoing use of the</w:t>
      </w:r>
      <w:r w:rsidR="00953CAF" w:rsidRPr="004943B2">
        <w:rPr>
          <w:rFonts w:asciiTheme="minorHAnsi" w:hAnsiTheme="minorHAnsi"/>
        </w:rPr>
        <w:t xml:space="preserve"> land </w:t>
      </w:r>
      <w:r w:rsidR="00CD2AAA" w:rsidRPr="004943B2">
        <w:rPr>
          <w:rFonts w:asciiTheme="minorHAnsi" w:hAnsiTheme="minorHAnsi"/>
        </w:rPr>
        <w:t>for agricultural purposes.</w:t>
      </w:r>
    </w:p>
    <w:p w14:paraId="343601EC" w14:textId="282C3C5D" w:rsidR="00CD2AAA" w:rsidRPr="004943B2" w:rsidRDefault="00CD2AAA" w:rsidP="1A3134AD">
      <w:pPr>
        <w:spacing w:after="40"/>
        <w:rPr>
          <w:rFonts w:asciiTheme="minorHAnsi" w:hAnsiTheme="minorHAnsi"/>
        </w:rPr>
      </w:pPr>
      <w:r w:rsidRPr="004943B2">
        <w:rPr>
          <w:rFonts w:asciiTheme="minorHAnsi" w:hAnsiTheme="minorHAnsi"/>
        </w:rPr>
        <w:t xml:space="preserve">Whilst section 4.3 </w:t>
      </w:r>
      <w:r w:rsidR="00953CAF" w:rsidRPr="004943B2">
        <w:rPr>
          <w:rFonts w:asciiTheme="minorHAnsi" w:hAnsiTheme="minorHAnsi"/>
        </w:rPr>
        <w:t xml:space="preserve">of the section 32 statement </w:t>
      </w:r>
      <w:r w:rsidRPr="004943B2">
        <w:rPr>
          <w:rFonts w:asciiTheme="minorHAnsi" w:hAnsiTheme="minorHAnsi"/>
        </w:rPr>
        <w:t xml:space="preserve">requires disclosure of </w:t>
      </w:r>
      <w:r w:rsidR="00953CAF" w:rsidRPr="004943B2">
        <w:rPr>
          <w:rFonts w:asciiTheme="minorHAnsi" w:hAnsiTheme="minorHAnsi"/>
        </w:rPr>
        <w:t xml:space="preserve">particulars </w:t>
      </w:r>
      <w:r w:rsidR="00F43BA6" w:rsidRPr="004943B2">
        <w:rPr>
          <w:rFonts w:asciiTheme="minorHAnsi" w:hAnsiTheme="minorHAnsi"/>
        </w:rPr>
        <w:t xml:space="preserve">of any notice of intention to acquire served under section 6 of the </w:t>
      </w:r>
      <w:hyperlink r:id="rId84" w:history="1">
        <w:r w:rsidR="00F43BA6" w:rsidRPr="00942C14">
          <w:rPr>
            <w:rStyle w:val="Hyperlink"/>
          </w:rPr>
          <w:t>Land Acquisition and Compensation Act 1986</w:t>
        </w:r>
      </w:hyperlink>
      <w:r w:rsidR="00F43BA6" w:rsidRPr="004943B2">
        <w:rPr>
          <w:rFonts w:asciiTheme="minorHAnsi" w:hAnsiTheme="minorHAnsi"/>
          <w:i/>
          <w:iCs/>
        </w:rPr>
        <w:t xml:space="preserve"> (Vic)</w:t>
      </w:r>
      <w:r w:rsidR="00F43BA6" w:rsidRPr="004943B2">
        <w:rPr>
          <w:rFonts w:asciiTheme="minorHAnsi" w:hAnsiTheme="minorHAnsi"/>
        </w:rPr>
        <w:t xml:space="preserve"> .</w:t>
      </w:r>
    </w:p>
    <w:p w14:paraId="77D411FF" w14:textId="669F8FFC" w:rsidR="001439B2" w:rsidRPr="004943B2" w:rsidRDefault="001439B2" w:rsidP="1A3134AD">
      <w:pPr>
        <w:spacing w:after="40"/>
        <w:rPr>
          <w:rFonts w:asciiTheme="minorHAnsi" w:hAnsiTheme="minorHAnsi"/>
        </w:rPr>
      </w:pPr>
      <w:r w:rsidRPr="004943B2">
        <w:rPr>
          <w:rFonts w:asciiTheme="minorHAnsi" w:hAnsiTheme="minorHAnsi"/>
        </w:rPr>
        <w:t>Consequently, practitioners should take detailed instructions from their vendor clients in regard to notices</w:t>
      </w:r>
      <w:r w:rsidR="008A7C7B" w:rsidRPr="004943B2">
        <w:rPr>
          <w:rFonts w:asciiTheme="minorHAnsi" w:hAnsiTheme="minorHAnsi"/>
        </w:rPr>
        <w:t xml:space="preserve"> or documents that need to be disclosed under section 32D of the Sale of Land</w:t>
      </w:r>
      <w:r w:rsidRPr="004943B2">
        <w:rPr>
          <w:rFonts w:asciiTheme="minorHAnsi" w:hAnsiTheme="minorHAnsi"/>
        </w:rPr>
        <w:t xml:space="preserve">, </w:t>
      </w:r>
      <w:r w:rsidR="00600F62" w:rsidRPr="004943B2">
        <w:rPr>
          <w:rFonts w:asciiTheme="minorHAnsi" w:hAnsiTheme="minorHAnsi"/>
        </w:rPr>
        <w:t xml:space="preserve">and then carefully review any notices or </w:t>
      </w:r>
      <w:r w:rsidR="00600F62" w:rsidRPr="004943B2">
        <w:rPr>
          <w:rFonts w:asciiTheme="minorHAnsi" w:hAnsiTheme="minorHAnsi"/>
        </w:rPr>
        <w:lastRenderedPageBreak/>
        <w:t xml:space="preserve">documents </w:t>
      </w:r>
      <w:r w:rsidR="0021796F" w:rsidRPr="004943B2">
        <w:rPr>
          <w:rFonts w:asciiTheme="minorHAnsi" w:hAnsiTheme="minorHAnsi"/>
        </w:rPr>
        <w:t xml:space="preserve">to bed </w:t>
      </w:r>
      <w:proofErr w:type="gramStart"/>
      <w:r w:rsidR="0021796F" w:rsidRPr="004943B2">
        <w:rPr>
          <w:rFonts w:asciiTheme="minorHAnsi" w:hAnsiTheme="minorHAnsi"/>
        </w:rPr>
        <w:t>disclosed, and</w:t>
      </w:r>
      <w:proofErr w:type="gramEnd"/>
      <w:r w:rsidR="0021796F" w:rsidRPr="004943B2">
        <w:rPr>
          <w:rFonts w:asciiTheme="minorHAnsi" w:hAnsiTheme="minorHAnsi"/>
        </w:rPr>
        <w:t xml:space="preserve"> then ensure that they are annexed to the section 32 statement, </w:t>
      </w:r>
      <w:r w:rsidRPr="004943B2">
        <w:rPr>
          <w:rFonts w:asciiTheme="minorHAnsi" w:hAnsiTheme="minorHAnsi"/>
        </w:rPr>
        <w:t xml:space="preserve">to </w:t>
      </w:r>
      <w:proofErr w:type="spellStart"/>
      <w:r w:rsidRPr="004943B2">
        <w:rPr>
          <w:rFonts w:asciiTheme="minorHAnsi" w:hAnsiTheme="minorHAnsi"/>
        </w:rPr>
        <w:t>minimise</w:t>
      </w:r>
      <w:proofErr w:type="spellEnd"/>
      <w:r w:rsidRPr="004943B2">
        <w:rPr>
          <w:rFonts w:asciiTheme="minorHAnsi" w:hAnsiTheme="minorHAnsi"/>
        </w:rPr>
        <w:t xml:space="preserve"> the risk of </w:t>
      </w:r>
      <w:r w:rsidR="00C138D2" w:rsidRPr="004943B2">
        <w:rPr>
          <w:rFonts w:asciiTheme="minorHAnsi" w:hAnsiTheme="minorHAnsi"/>
        </w:rPr>
        <w:t>a defective section 32 statement.</w:t>
      </w:r>
    </w:p>
    <w:p w14:paraId="20625711" w14:textId="77777777" w:rsidR="00B84943" w:rsidRPr="004943B2" w:rsidRDefault="00B84943" w:rsidP="00B84943">
      <w:pPr>
        <w:spacing w:before="40" w:after="40"/>
        <w:rPr>
          <w:rFonts w:asciiTheme="minorHAnsi" w:hAnsiTheme="minorHAnsi"/>
        </w:rPr>
      </w:pPr>
      <w:r w:rsidRPr="004943B2">
        <w:rPr>
          <w:rFonts w:asciiTheme="minorHAnsi" w:hAnsiTheme="minorHAnsi"/>
          <w:i/>
          <w:sz w:val="17"/>
        </w:rPr>
        <w:t xml:space="preserve">Further information:  </w:t>
      </w:r>
      <w:hyperlink r:id="rId85">
        <w:r w:rsidRPr="00942C14">
          <w:rPr>
            <w:rStyle w:val="Hyperlink"/>
          </w:rPr>
          <w:t>Section 32D of the Sale of Land Act</w:t>
        </w:r>
      </w:hyperlink>
      <w:r w:rsidRPr="004943B2">
        <w:rPr>
          <w:rFonts w:asciiTheme="minorHAnsi" w:hAnsiTheme="minorHAnsi"/>
          <w:sz w:val="17"/>
        </w:rPr>
        <w:t xml:space="preserve">   |   </w:t>
      </w:r>
      <w:hyperlink r:id="rId86">
        <w:r w:rsidRPr="00942C14">
          <w:rPr>
            <w:rStyle w:val="Hyperlink"/>
          </w:rPr>
          <w:t>Land Acquisition and Compensation Act 1986 (Vic)</w:t>
        </w:r>
      </w:hyperlink>
    </w:p>
    <w:p w14:paraId="77B2F001" w14:textId="7DAF801E"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szCs w:val="21"/>
        </w:rPr>
        <w:t>E31  Building permits, occupancy permits and insurance</w:t>
      </w:r>
    </w:p>
    <w:p w14:paraId="3BC251AE" w14:textId="77777777" w:rsidR="00C138D2" w:rsidRPr="004943B2" w:rsidRDefault="00B84943" w:rsidP="1A3134AD">
      <w:pPr>
        <w:spacing w:after="40"/>
        <w:rPr>
          <w:rFonts w:asciiTheme="minorHAnsi" w:hAnsiTheme="minorHAnsi"/>
        </w:rPr>
      </w:pPr>
      <w:r w:rsidRPr="004943B2">
        <w:rPr>
          <w:rFonts w:asciiTheme="minorHAnsi" w:hAnsiTheme="minorHAnsi"/>
        </w:rPr>
        <w:t xml:space="preserve">Where there is a residence on the land, particulars of any building permit issued in the preceding seven years must be disclosed. </w:t>
      </w:r>
    </w:p>
    <w:p w14:paraId="06021B0C" w14:textId="11F4CB7E" w:rsidR="008873FE" w:rsidRPr="004943B2" w:rsidRDefault="00B84943" w:rsidP="1A3134AD">
      <w:pPr>
        <w:spacing w:after="40"/>
        <w:rPr>
          <w:rFonts w:asciiTheme="minorHAnsi" w:hAnsiTheme="minorHAnsi"/>
        </w:rPr>
      </w:pPr>
      <w:r w:rsidRPr="004943B2">
        <w:rPr>
          <w:rFonts w:asciiTheme="minorHAnsi" w:hAnsiTheme="minorHAnsi"/>
        </w:rPr>
        <w:t xml:space="preserve">If building permits have been obtained in the last seven years, practitioners should check whether the named builder on the permit was the vendor (owner-builder) or a registered builder, because if the named builder on the permit is </w:t>
      </w:r>
      <w:r w:rsidR="00011058" w:rsidRPr="004943B2">
        <w:rPr>
          <w:rFonts w:asciiTheme="minorHAnsi" w:hAnsiTheme="minorHAnsi"/>
        </w:rPr>
        <w:t>the vendor</w:t>
      </w:r>
      <w:r w:rsidR="00CA3D91" w:rsidRPr="004943B2">
        <w:rPr>
          <w:rFonts w:asciiTheme="minorHAnsi" w:hAnsiTheme="minorHAnsi"/>
        </w:rPr>
        <w:t>,</w:t>
      </w:r>
      <w:r w:rsidRPr="004943B2">
        <w:rPr>
          <w:rFonts w:asciiTheme="minorHAnsi" w:hAnsiTheme="minorHAnsi"/>
        </w:rPr>
        <w:t xml:space="preserve"> then the vendor will also need to comply with the </w:t>
      </w:r>
      <w:r w:rsidR="00011058" w:rsidRPr="004943B2">
        <w:rPr>
          <w:rFonts w:asciiTheme="minorHAnsi" w:hAnsiTheme="minorHAnsi"/>
        </w:rPr>
        <w:t xml:space="preserve">owner-builder </w:t>
      </w:r>
      <w:r w:rsidRPr="004943B2">
        <w:rPr>
          <w:rFonts w:asciiTheme="minorHAnsi" w:hAnsiTheme="minorHAnsi"/>
        </w:rPr>
        <w:t>requirements under section 137B of the Building Act.</w:t>
      </w:r>
    </w:p>
    <w:p w14:paraId="04328B60" w14:textId="3F9EEB9A" w:rsidR="7C2D99C2" w:rsidRPr="004943B2" w:rsidRDefault="7C2D99C2" w:rsidP="55CE547A">
      <w:pPr>
        <w:spacing w:after="40"/>
        <w:rPr>
          <w:rFonts w:asciiTheme="minorHAnsi" w:hAnsiTheme="minorHAnsi"/>
        </w:rPr>
      </w:pPr>
      <w:r w:rsidRPr="004943B2">
        <w:rPr>
          <w:rFonts w:asciiTheme="minorHAnsi" w:hAnsiTheme="minorHAnsi"/>
        </w:rPr>
        <w:t xml:space="preserve">Where a permit is listed, </w:t>
      </w:r>
      <w:r w:rsidR="00011058" w:rsidRPr="004943B2">
        <w:rPr>
          <w:rFonts w:asciiTheme="minorHAnsi" w:hAnsiTheme="minorHAnsi"/>
        </w:rPr>
        <w:t xml:space="preserve">practitioners should also review </w:t>
      </w:r>
      <w:r w:rsidR="00D91BE0" w:rsidRPr="004943B2">
        <w:rPr>
          <w:rFonts w:asciiTheme="minorHAnsi" w:hAnsiTheme="minorHAnsi"/>
        </w:rPr>
        <w:t xml:space="preserve">and annex to the section 32 </w:t>
      </w:r>
      <w:r w:rsidR="004809FE" w:rsidRPr="004943B2">
        <w:rPr>
          <w:rFonts w:asciiTheme="minorHAnsi" w:hAnsiTheme="minorHAnsi"/>
        </w:rPr>
        <w:t xml:space="preserve">statement, </w:t>
      </w:r>
      <w:r w:rsidRPr="004943B2">
        <w:rPr>
          <w:rFonts w:asciiTheme="minorHAnsi" w:hAnsiTheme="minorHAnsi"/>
        </w:rPr>
        <w:t>an</w:t>
      </w:r>
      <w:r w:rsidR="006A746C" w:rsidRPr="004943B2">
        <w:rPr>
          <w:rFonts w:asciiTheme="minorHAnsi" w:hAnsiTheme="minorHAnsi"/>
        </w:rPr>
        <w:t>y</w:t>
      </w:r>
      <w:r w:rsidRPr="004943B2">
        <w:rPr>
          <w:rFonts w:asciiTheme="minorHAnsi" w:hAnsiTheme="minorHAnsi"/>
        </w:rPr>
        <w:t xml:space="preserve"> occupancy permit or certificate of final inspection for those works.</w:t>
      </w:r>
    </w:p>
    <w:p w14:paraId="06AC67EA" w14:textId="77777777" w:rsidR="00B84943" w:rsidRPr="004943B2" w:rsidRDefault="00B84943" w:rsidP="00B84943">
      <w:pPr>
        <w:spacing w:before="40" w:after="40"/>
        <w:rPr>
          <w:rFonts w:asciiTheme="minorHAnsi" w:hAnsiTheme="minorHAnsi"/>
        </w:rPr>
      </w:pPr>
      <w:r w:rsidRPr="004943B2">
        <w:rPr>
          <w:rFonts w:asciiTheme="minorHAnsi" w:hAnsiTheme="minorHAnsi"/>
          <w:i/>
          <w:sz w:val="17"/>
          <w:szCs w:val="17"/>
        </w:rPr>
        <w:t xml:space="preserve">Further information:  </w:t>
      </w:r>
      <w:hyperlink r:id="rId87">
        <w:r w:rsidRPr="00942C14">
          <w:rPr>
            <w:rStyle w:val="Hyperlink"/>
          </w:rPr>
          <w:t>Section 32E of the Sale of Land Act</w:t>
        </w:r>
      </w:hyperlink>
      <w:r w:rsidRPr="004943B2">
        <w:rPr>
          <w:rFonts w:asciiTheme="minorHAnsi" w:hAnsiTheme="minorHAnsi"/>
          <w:sz w:val="17"/>
          <w:szCs w:val="17"/>
        </w:rPr>
        <w:t xml:space="preserve">   |   </w:t>
      </w:r>
      <w:hyperlink r:id="rId88">
        <w:r w:rsidRPr="00942C14">
          <w:rPr>
            <w:rStyle w:val="Hyperlink"/>
          </w:rPr>
          <w:t>Council building information certificates and section 32 statements</w:t>
        </w:r>
      </w:hyperlink>
    </w:p>
    <w:p w14:paraId="1F1B2286" w14:textId="48A5BBBA"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szCs w:val="21"/>
        </w:rPr>
        <w:t>E32  Owners corporation certificates</w:t>
      </w:r>
    </w:p>
    <w:p w14:paraId="515CF36E" w14:textId="41782245" w:rsidR="00CF1E6D" w:rsidRPr="004943B2" w:rsidRDefault="00CB6DB7" w:rsidP="1A3134AD">
      <w:pPr>
        <w:spacing w:after="40"/>
        <w:rPr>
          <w:rFonts w:asciiTheme="minorHAnsi" w:hAnsiTheme="minorHAnsi"/>
        </w:rPr>
      </w:pPr>
      <w:r w:rsidRPr="004943B2">
        <w:rPr>
          <w:rFonts w:asciiTheme="minorHAnsi" w:hAnsiTheme="minorHAnsi"/>
        </w:rPr>
        <w:t xml:space="preserve">Practitioners should check whether an </w:t>
      </w:r>
      <w:proofErr w:type="gramStart"/>
      <w:r w:rsidRPr="004943B2">
        <w:rPr>
          <w:rFonts w:asciiTheme="minorHAnsi" w:hAnsiTheme="minorHAnsi"/>
        </w:rPr>
        <w:t>owners</w:t>
      </w:r>
      <w:proofErr w:type="gramEnd"/>
      <w:r w:rsidRPr="004943B2">
        <w:rPr>
          <w:rFonts w:asciiTheme="minorHAnsi" w:hAnsiTheme="minorHAnsi"/>
        </w:rPr>
        <w:t xml:space="preserve"> corporation applies to the land, and the number of owners corporations, by reviewing the title search. An </w:t>
      </w:r>
      <w:proofErr w:type="gramStart"/>
      <w:r w:rsidRPr="004943B2">
        <w:rPr>
          <w:rFonts w:asciiTheme="minorHAnsi" w:hAnsiTheme="minorHAnsi"/>
        </w:rPr>
        <w:t>owners</w:t>
      </w:r>
      <w:proofErr w:type="gramEnd"/>
      <w:r w:rsidRPr="004943B2">
        <w:rPr>
          <w:rFonts w:asciiTheme="minorHAnsi" w:hAnsiTheme="minorHAnsi"/>
        </w:rPr>
        <w:t xml:space="preserve"> corporation certificate is needed for each applicable </w:t>
      </w:r>
      <w:proofErr w:type="gramStart"/>
      <w:r w:rsidRPr="004943B2">
        <w:rPr>
          <w:rFonts w:asciiTheme="minorHAnsi" w:hAnsiTheme="minorHAnsi"/>
        </w:rPr>
        <w:t>owners</w:t>
      </w:r>
      <w:proofErr w:type="gramEnd"/>
      <w:r w:rsidRPr="004943B2">
        <w:rPr>
          <w:rFonts w:asciiTheme="minorHAnsi" w:hAnsiTheme="minorHAnsi"/>
        </w:rPr>
        <w:t xml:space="preserve"> corporation that applies to the lot. Extra care should be taken where there are separate lots, such as a </w:t>
      </w:r>
      <w:proofErr w:type="gramStart"/>
      <w:r w:rsidRPr="004943B2">
        <w:rPr>
          <w:rFonts w:asciiTheme="minorHAnsi" w:hAnsiTheme="minorHAnsi"/>
        </w:rPr>
        <w:t>carpark</w:t>
      </w:r>
      <w:proofErr w:type="gramEnd"/>
      <w:r w:rsidRPr="004943B2">
        <w:rPr>
          <w:rFonts w:asciiTheme="minorHAnsi" w:hAnsiTheme="minorHAnsi"/>
        </w:rPr>
        <w:t xml:space="preserve"> that is being sold with the main lot, as a separate </w:t>
      </w:r>
      <w:proofErr w:type="gramStart"/>
      <w:r w:rsidRPr="004943B2">
        <w:rPr>
          <w:rFonts w:asciiTheme="minorHAnsi" w:hAnsiTheme="minorHAnsi"/>
        </w:rPr>
        <w:t>owners</w:t>
      </w:r>
      <w:proofErr w:type="gramEnd"/>
      <w:r w:rsidRPr="004943B2">
        <w:rPr>
          <w:rFonts w:asciiTheme="minorHAnsi" w:hAnsiTheme="minorHAnsi"/>
        </w:rPr>
        <w:t xml:space="preserve"> corporation certificate may be required.</w:t>
      </w:r>
    </w:p>
    <w:p w14:paraId="199CB3CC" w14:textId="5EB9ADAE" w:rsidR="00150752" w:rsidRPr="004943B2" w:rsidRDefault="00150752" w:rsidP="1A3134AD">
      <w:pPr>
        <w:spacing w:after="40"/>
        <w:rPr>
          <w:rFonts w:asciiTheme="minorHAnsi" w:hAnsiTheme="minorHAnsi"/>
        </w:rPr>
      </w:pPr>
      <w:r w:rsidRPr="004943B2">
        <w:rPr>
          <w:rFonts w:asciiTheme="minorHAnsi" w:hAnsiTheme="minorHAnsi"/>
        </w:rPr>
        <w:t xml:space="preserve">Similarly, practitioners should </w:t>
      </w:r>
      <w:r w:rsidR="00EC57B6" w:rsidRPr="004943B2">
        <w:rPr>
          <w:rFonts w:asciiTheme="minorHAnsi" w:hAnsiTheme="minorHAnsi"/>
        </w:rPr>
        <w:t xml:space="preserve">cross check the </w:t>
      </w:r>
      <w:proofErr w:type="gramStart"/>
      <w:r w:rsidR="00EC57B6" w:rsidRPr="004943B2">
        <w:rPr>
          <w:rFonts w:asciiTheme="minorHAnsi" w:hAnsiTheme="minorHAnsi"/>
        </w:rPr>
        <w:t>owners</w:t>
      </w:r>
      <w:proofErr w:type="gramEnd"/>
      <w:r w:rsidR="00EC57B6" w:rsidRPr="004943B2">
        <w:rPr>
          <w:rFonts w:asciiTheme="minorHAnsi" w:hAnsiTheme="minorHAnsi"/>
        </w:rPr>
        <w:t xml:space="preserve"> corporation certificate</w:t>
      </w:r>
      <w:r w:rsidR="007F48F5" w:rsidRPr="004943B2">
        <w:rPr>
          <w:rFonts w:asciiTheme="minorHAnsi" w:hAnsiTheme="minorHAnsi"/>
        </w:rPr>
        <w:t xml:space="preserve"> and</w:t>
      </w:r>
      <w:r w:rsidRPr="004943B2">
        <w:rPr>
          <w:rFonts w:asciiTheme="minorHAnsi" w:hAnsiTheme="minorHAnsi"/>
        </w:rPr>
        <w:t xml:space="preserve"> the </w:t>
      </w:r>
      <w:proofErr w:type="gramStart"/>
      <w:r w:rsidRPr="004943B2">
        <w:rPr>
          <w:rFonts w:asciiTheme="minorHAnsi" w:hAnsiTheme="minorHAnsi"/>
        </w:rPr>
        <w:t>owners</w:t>
      </w:r>
      <w:proofErr w:type="gramEnd"/>
      <w:r w:rsidRPr="004943B2">
        <w:rPr>
          <w:rFonts w:asciiTheme="minorHAnsi" w:hAnsiTheme="minorHAnsi"/>
        </w:rPr>
        <w:t xml:space="preserve"> corporation report to see whether any additional </w:t>
      </w:r>
      <w:proofErr w:type="gramStart"/>
      <w:r w:rsidRPr="004943B2">
        <w:rPr>
          <w:rFonts w:asciiTheme="minorHAnsi" w:hAnsiTheme="minorHAnsi"/>
        </w:rPr>
        <w:t>owners</w:t>
      </w:r>
      <w:proofErr w:type="gramEnd"/>
      <w:r w:rsidRPr="004943B2">
        <w:rPr>
          <w:rFonts w:asciiTheme="minorHAnsi" w:hAnsiTheme="minorHAnsi"/>
        </w:rPr>
        <w:t xml:space="preserve"> corporation rules apply, and if so, obtain </w:t>
      </w:r>
      <w:r w:rsidR="00EC57B6" w:rsidRPr="004943B2">
        <w:rPr>
          <w:rFonts w:asciiTheme="minorHAnsi" w:hAnsiTheme="minorHAnsi"/>
        </w:rPr>
        <w:t>copies</w:t>
      </w:r>
      <w:r w:rsidRPr="004943B2">
        <w:rPr>
          <w:rFonts w:asciiTheme="minorHAnsi" w:hAnsiTheme="minorHAnsi"/>
        </w:rPr>
        <w:t xml:space="preserve"> of </w:t>
      </w:r>
      <w:r w:rsidR="00EC57B6" w:rsidRPr="004943B2">
        <w:rPr>
          <w:rFonts w:asciiTheme="minorHAnsi" w:hAnsiTheme="minorHAnsi"/>
        </w:rPr>
        <w:t>any</w:t>
      </w:r>
      <w:r w:rsidRPr="004943B2">
        <w:rPr>
          <w:rFonts w:asciiTheme="minorHAnsi" w:hAnsiTheme="minorHAnsi"/>
        </w:rPr>
        <w:t xml:space="preserve"> additional rules</w:t>
      </w:r>
      <w:r w:rsidR="00A60277" w:rsidRPr="004943B2">
        <w:rPr>
          <w:rFonts w:asciiTheme="minorHAnsi" w:hAnsiTheme="minorHAnsi"/>
        </w:rPr>
        <w:t>, review</w:t>
      </w:r>
      <w:r w:rsidRPr="004943B2">
        <w:rPr>
          <w:rFonts w:asciiTheme="minorHAnsi" w:hAnsiTheme="minorHAnsi"/>
        </w:rPr>
        <w:t xml:space="preserve"> and annex </w:t>
      </w:r>
      <w:r w:rsidR="00A60277" w:rsidRPr="004943B2">
        <w:rPr>
          <w:rFonts w:asciiTheme="minorHAnsi" w:hAnsiTheme="minorHAnsi"/>
        </w:rPr>
        <w:t>them</w:t>
      </w:r>
      <w:r w:rsidRPr="004943B2">
        <w:rPr>
          <w:rFonts w:asciiTheme="minorHAnsi" w:hAnsiTheme="minorHAnsi"/>
        </w:rPr>
        <w:t xml:space="preserve"> to </w:t>
      </w:r>
      <w:proofErr w:type="gramStart"/>
      <w:r w:rsidRPr="004943B2">
        <w:rPr>
          <w:rFonts w:asciiTheme="minorHAnsi" w:hAnsiTheme="minorHAnsi"/>
        </w:rPr>
        <w:t>the section</w:t>
      </w:r>
      <w:proofErr w:type="gramEnd"/>
      <w:r w:rsidRPr="004943B2">
        <w:rPr>
          <w:rFonts w:asciiTheme="minorHAnsi" w:hAnsiTheme="minorHAnsi"/>
        </w:rPr>
        <w:t xml:space="preserve"> 32 statement. </w:t>
      </w:r>
    </w:p>
    <w:p w14:paraId="108A8A4D" w14:textId="77777777" w:rsidR="00AB1390" w:rsidRPr="004943B2" w:rsidRDefault="005517D0" w:rsidP="00B84943">
      <w:pPr>
        <w:spacing w:after="40"/>
        <w:rPr>
          <w:rFonts w:asciiTheme="minorHAnsi" w:hAnsiTheme="minorHAnsi"/>
        </w:rPr>
      </w:pPr>
      <w:r w:rsidRPr="004943B2">
        <w:rPr>
          <w:rFonts w:asciiTheme="minorHAnsi" w:hAnsiTheme="minorHAnsi"/>
        </w:rPr>
        <w:t xml:space="preserve">Once the </w:t>
      </w:r>
      <w:proofErr w:type="gramStart"/>
      <w:r w:rsidRPr="004943B2">
        <w:rPr>
          <w:rFonts w:asciiTheme="minorHAnsi" w:hAnsiTheme="minorHAnsi"/>
        </w:rPr>
        <w:t>owners</w:t>
      </w:r>
      <w:proofErr w:type="gramEnd"/>
      <w:r w:rsidRPr="004943B2">
        <w:rPr>
          <w:rFonts w:asciiTheme="minorHAnsi" w:hAnsiTheme="minorHAnsi"/>
        </w:rPr>
        <w:t xml:space="preserve"> corporation certificate is obtained, practitioners should check</w:t>
      </w:r>
      <w:r w:rsidR="00AB1390" w:rsidRPr="004943B2">
        <w:rPr>
          <w:rFonts w:asciiTheme="minorHAnsi" w:hAnsiTheme="minorHAnsi"/>
        </w:rPr>
        <w:t>:</w:t>
      </w:r>
    </w:p>
    <w:p w14:paraId="748E6B61" w14:textId="1640E990" w:rsidR="004E2C68" w:rsidRPr="004943B2" w:rsidRDefault="005517D0" w:rsidP="004E2C68">
      <w:pPr>
        <w:pStyle w:val="ListParagraph"/>
        <w:numPr>
          <w:ilvl w:val="0"/>
          <w:numId w:val="22"/>
        </w:numPr>
        <w:spacing w:after="40"/>
        <w:rPr>
          <w:rFonts w:asciiTheme="minorHAnsi" w:hAnsiTheme="minorHAnsi"/>
        </w:rPr>
      </w:pPr>
      <w:r w:rsidRPr="004943B2">
        <w:rPr>
          <w:rFonts w:asciiTheme="minorHAnsi" w:hAnsiTheme="minorHAnsi"/>
        </w:rPr>
        <w:t>that each certificate is for the correct property, is current and is signed</w:t>
      </w:r>
      <w:r w:rsidR="004E2C68" w:rsidRPr="004943B2">
        <w:rPr>
          <w:rFonts w:asciiTheme="minorHAnsi" w:hAnsiTheme="minorHAnsi"/>
        </w:rPr>
        <w:t>,</w:t>
      </w:r>
    </w:p>
    <w:p w14:paraId="6F083017" w14:textId="4BCB3489" w:rsidR="00B84943" w:rsidRPr="004943B2" w:rsidRDefault="005517D0" w:rsidP="004E2C68">
      <w:pPr>
        <w:pStyle w:val="ListParagraph"/>
        <w:numPr>
          <w:ilvl w:val="0"/>
          <w:numId w:val="22"/>
        </w:numPr>
        <w:spacing w:after="40"/>
        <w:rPr>
          <w:rFonts w:asciiTheme="minorHAnsi" w:hAnsiTheme="minorHAnsi"/>
        </w:rPr>
      </w:pPr>
      <w:r w:rsidRPr="004943B2">
        <w:rPr>
          <w:rFonts w:asciiTheme="minorHAnsi" w:hAnsiTheme="minorHAnsi"/>
        </w:rPr>
        <w:t xml:space="preserve"> that the model rules, minutes, financial statements</w:t>
      </w:r>
      <w:r w:rsidR="004E2C68" w:rsidRPr="004943B2">
        <w:rPr>
          <w:rFonts w:asciiTheme="minorHAnsi" w:hAnsiTheme="minorHAnsi"/>
        </w:rPr>
        <w:t>,</w:t>
      </w:r>
      <w:r w:rsidRPr="004943B2">
        <w:rPr>
          <w:rFonts w:asciiTheme="minorHAnsi" w:hAnsiTheme="minorHAnsi"/>
        </w:rPr>
        <w:t xml:space="preserve"> and proof of insurance are </w:t>
      </w:r>
      <w:proofErr w:type="gramStart"/>
      <w:r w:rsidRPr="004943B2">
        <w:rPr>
          <w:rFonts w:asciiTheme="minorHAnsi" w:hAnsiTheme="minorHAnsi"/>
        </w:rPr>
        <w:t>actually attached</w:t>
      </w:r>
      <w:proofErr w:type="gramEnd"/>
      <w:r w:rsidRPr="004943B2">
        <w:rPr>
          <w:rFonts w:asciiTheme="minorHAnsi" w:hAnsiTheme="minorHAnsi"/>
        </w:rPr>
        <w:t xml:space="preserve"> to the </w:t>
      </w:r>
      <w:proofErr w:type="gramStart"/>
      <w:r w:rsidRPr="004943B2">
        <w:rPr>
          <w:rFonts w:asciiTheme="minorHAnsi" w:hAnsiTheme="minorHAnsi"/>
        </w:rPr>
        <w:t>owners</w:t>
      </w:r>
      <w:proofErr w:type="gramEnd"/>
      <w:r w:rsidRPr="004943B2">
        <w:rPr>
          <w:rFonts w:asciiTheme="minorHAnsi" w:hAnsiTheme="minorHAnsi"/>
        </w:rPr>
        <w:t xml:space="preserve"> corporation certificate rather than merely referred to.  </w:t>
      </w:r>
    </w:p>
    <w:p w14:paraId="2054ED32" w14:textId="7202B810" w:rsidR="001C4EC0" w:rsidRPr="004943B2" w:rsidRDefault="00B84943" w:rsidP="1A3134AD">
      <w:pPr>
        <w:spacing w:after="40"/>
        <w:rPr>
          <w:rFonts w:asciiTheme="minorHAnsi" w:hAnsiTheme="minorHAnsi"/>
        </w:rPr>
      </w:pPr>
      <w:r w:rsidRPr="004943B2">
        <w:rPr>
          <w:rFonts w:asciiTheme="minorHAnsi" w:hAnsiTheme="minorHAnsi"/>
        </w:rPr>
        <w:t xml:space="preserve">Where there are three or more lots, the vendor needs an insurance policy covering reinstatement and replacement cover for any buildings on the common property, and public liability cover for the common property. Both types of insurance must be in the name of the </w:t>
      </w:r>
      <w:proofErr w:type="gramStart"/>
      <w:r w:rsidRPr="004943B2">
        <w:rPr>
          <w:rFonts w:asciiTheme="minorHAnsi" w:hAnsiTheme="minorHAnsi"/>
        </w:rPr>
        <w:t>owners</w:t>
      </w:r>
      <w:proofErr w:type="gramEnd"/>
      <w:r w:rsidRPr="004943B2">
        <w:rPr>
          <w:rFonts w:asciiTheme="minorHAnsi" w:hAnsiTheme="minorHAnsi"/>
        </w:rPr>
        <w:t xml:space="preserve"> corporation, and the certificate of insurance </w:t>
      </w:r>
      <w:r w:rsidR="0067511F" w:rsidRPr="004943B2">
        <w:rPr>
          <w:rFonts w:asciiTheme="minorHAnsi" w:hAnsiTheme="minorHAnsi"/>
        </w:rPr>
        <w:t>should be</w:t>
      </w:r>
      <w:r w:rsidRPr="004943B2">
        <w:rPr>
          <w:rFonts w:asciiTheme="minorHAnsi" w:hAnsiTheme="minorHAnsi"/>
        </w:rPr>
        <w:t xml:space="preserve"> annexed to </w:t>
      </w:r>
      <w:proofErr w:type="gramStart"/>
      <w:r w:rsidRPr="004943B2">
        <w:rPr>
          <w:rFonts w:asciiTheme="minorHAnsi" w:hAnsiTheme="minorHAnsi"/>
        </w:rPr>
        <w:t>the section</w:t>
      </w:r>
      <w:proofErr w:type="gramEnd"/>
      <w:r w:rsidRPr="004943B2">
        <w:rPr>
          <w:rFonts w:asciiTheme="minorHAnsi" w:hAnsiTheme="minorHAnsi"/>
        </w:rPr>
        <w:t xml:space="preserve"> 32 statement. </w:t>
      </w:r>
    </w:p>
    <w:p w14:paraId="2829D226" w14:textId="3AFE2FD4" w:rsidR="00B84943" w:rsidRPr="004943B2" w:rsidRDefault="00B84943" w:rsidP="00B84943">
      <w:pPr>
        <w:spacing w:after="40"/>
        <w:rPr>
          <w:rFonts w:asciiTheme="minorHAnsi" w:hAnsiTheme="minorHAnsi"/>
        </w:rPr>
      </w:pPr>
      <w:r w:rsidRPr="004943B2">
        <w:rPr>
          <w:rFonts w:asciiTheme="minorHAnsi" w:hAnsiTheme="minorHAnsi"/>
        </w:rPr>
        <w:t xml:space="preserve">Where the required </w:t>
      </w:r>
      <w:proofErr w:type="gramStart"/>
      <w:r w:rsidR="00265500" w:rsidRPr="004943B2">
        <w:rPr>
          <w:rFonts w:asciiTheme="minorHAnsi" w:hAnsiTheme="minorHAnsi"/>
        </w:rPr>
        <w:t>owners</w:t>
      </w:r>
      <w:proofErr w:type="gramEnd"/>
      <w:r w:rsidR="00265500" w:rsidRPr="004943B2">
        <w:rPr>
          <w:rFonts w:asciiTheme="minorHAnsi" w:hAnsiTheme="minorHAnsi"/>
        </w:rPr>
        <w:t xml:space="preserve"> corporation</w:t>
      </w:r>
      <w:r w:rsidRPr="004943B2">
        <w:rPr>
          <w:rFonts w:asciiTheme="minorHAnsi" w:hAnsiTheme="minorHAnsi"/>
        </w:rPr>
        <w:t xml:space="preserve"> insurance is not in place before the contract is signed, the purchaser has a right to terminate the contract any time prior to settlement under section 11 of the Sale of Land Act.</w:t>
      </w:r>
    </w:p>
    <w:p w14:paraId="676FD5F1" w14:textId="212E9751" w:rsidR="00B84943" w:rsidRPr="004943B2" w:rsidRDefault="00B84943" w:rsidP="00B84943">
      <w:pPr>
        <w:spacing w:before="40" w:after="40"/>
        <w:rPr>
          <w:rFonts w:asciiTheme="minorHAnsi" w:hAnsiTheme="minorHAnsi"/>
          <w:sz w:val="17"/>
          <w:szCs w:val="17"/>
        </w:rPr>
      </w:pPr>
      <w:r w:rsidRPr="004943B2">
        <w:rPr>
          <w:rFonts w:asciiTheme="minorHAnsi" w:hAnsiTheme="minorHAnsi"/>
          <w:i/>
          <w:sz w:val="17"/>
          <w:szCs w:val="17"/>
        </w:rPr>
        <w:t xml:space="preserve">Further information:  </w:t>
      </w:r>
      <w:hyperlink r:id="rId89">
        <w:r w:rsidRPr="00942C14">
          <w:rPr>
            <w:rStyle w:val="Hyperlink"/>
          </w:rPr>
          <w:t>Section 32F of the Sale of Land Act</w:t>
        </w:r>
      </w:hyperlink>
      <w:r w:rsidRPr="004943B2">
        <w:rPr>
          <w:rFonts w:asciiTheme="minorHAnsi" w:hAnsiTheme="minorHAnsi"/>
          <w:sz w:val="17"/>
          <w:szCs w:val="17"/>
        </w:rPr>
        <w:t xml:space="preserve">   |   </w:t>
      </w:r>
      <w:hyperlink r:id="rId90">
        <w:r w:rsidRPr="00942C14">
          <w:rPr>
            <w:rStyle w:val="Hyperlink"/>
          </w:rPr>
          <w:t>Section 151 of the Owners Corporations Act</w:t>
        </w:r>
      </w:hyperlink>
      <w:r w:rsidRPr="004943B2">
        <w:rPr>
          <w:rFonts w:asciiTheme="minorHAnsi" w:hAnsiTheme="minorHAnsi"/>
          <w:sz w:val="17"/>
          <w:szCs w:val="17"/>
        </w:rPr>
        <w:t xml:space="preserve">   |  </w:t>
      </w:r>
      <w:hyperlink r:id="rId91" w:history="1">
        <w:r w:rsidR="00642CD3" w:rsidRPr="004943B2">
          <w:rPr>
            <w:rStyle w:val="Hyperlink"/>
            <w:szCs w:val="17"/>
          </w:rPr>
          <w:t>Section 59 of the Owners Corporation</w:t>
        </w:r>
        <w:r w:rsidR="00CF58A5" w:rsidRPr="004943B2">
          <w:rPr>
            <w:rStyle w:val="Hyperlink"/>
            <w:szCs w:val="17"/>
          </w:rPr>
          <w:t>s</w:t>
        </w:r>
        <w:r w:rsidR="00642CD3" w:rsidRPr="004943B2">
          <w:rPr>
            <w:rStyle w:val="Hyperlink"/>
            <w:szCs w:val="17"/>
          </w:rPr>
          <w:t xml:space="preserve"> Act</w:t>
        </w:r>
      </w:hyperlink>
      <w:r w:rsidRPr="004943B2">
        <w:rPr>
          <w:rFonts w:asciiTheme="minorHAnsi" w:hAnsiTheme="minorHAnsi"/>
          <w:sz w:val="17"/>
          <w:szCs w:val="17"/>
        </w:rPr>
        <w:t xml:space="preserve">   |   </w:t>
      </w:r>
      <w:hyperlink r:id="rId92" w:history="1">
        <w:r w:rsidR="00642CD3" w:rsidRPr="004943B2">
          <w:rPr>
            <w:rStyle w:val="Hyperlink"/>
            <w:szCs w:val="17"/>
          </w:rPr>
          <w:t>Section 60 of the Owners Corporation</w:t>
        </w:r>
        <w:r w:rsidR="00CF58A5" w:rsidRPr="004943B2">
          <w:rPr>
            <w:rStyle w:val="Hyperlink"/>
            <w:szCs w:val="17"/>
          </w:rPr>
          <w:t>s</w:t>
        </w:r>
        <w:r w:rsidR="00642CD3" w:rsidRPr="004943B2">
          <w:rPr>
            <w:rStyle w:val="Hyperlink"/>
            <w:szCs w:val="17"/>
          </w:rPr>
          <w:t xml:space="preserve"> Act</w:t>
        </w:r>
      </w:hyperlink>
      <w:r w:rsidR="00642CD3" w:rsidRPr="004943B2">
        <w:rPr>
          <w:rFonts w:asciiTheme="minorHAnsi" w:hAnsiTheme="minorHAnsi"/>
          <w:sz w:val="17"/>
          <w:szCs w:val="17"/>
        </w:rPr>
        <w:t xml:space="preserve">   |   </w:t>
      </w:r>
      <w:hyperlink r:id="rId93" w:history="1">
        <w:r w:rsidR="00642CD3" w:rsidRPr="004943B2">
          <w:rPr>
            <w:rStyle w:val="Hyperlink"/>
            <w:szCs w:val="17"/>
          </w:rPr>
          <w:t xml:space="preserve">Section </w:t>
        </w:r>
        <w:r w:rsidR="00E23F1D" w:rsidRPr="004943B2">
          <w:rPr>
            <w:rStyle w:val="Hyperlink"/>
            <w:szCs w:val="17"/>
          </w:rPr>
          <w:t>61 of the Owners Corporation</w:t>
        </w:r>
        <w:r w:rsidR="00131841" w:rsidRPr="004943B2">
          <w:rPr>
            <w:rStyle w:val="Hyperlink"/>
            <w:szCs w:val="17"/>
          </w:rPr>
          <w:t>s</w:t>
        </w:r>
        <w:r w:rsidR="00E23F1D" w:rsidRPr="004943B2">
          <w:rPr>
            <w:rStyle w:val="Hyperlink"/>
            <w:szCs w:val="17"/>
          </w:rPr>
          <w:t xml:space="preserve"> Act</w:t>
        </w:r>
      </w:hyperlink>
      <w:r w:rsidR="00E23F1D" w:rsidRPr="004943B2">
        <w:rPr>
          <w:rFonts w:asciiTheme="minorHAnsi" w:hAnsiTheme="minorHAnsi"/>
          <w:sz w:val="17"/>
          <w:szCs w:val="17"/>
        </w:rPr>
        <w:t xml:space="preserve"> </w:t>
      </w:r>
      <w:r w:rsidR="007D4372" w:rsidRPr="004943B2">
        <w:rPr>
          <w:rFonts w:asciiTheme="minorHAnsi" w:hAnsiTheme="minorHAnsi"/>
          <w:sz w:val="17"/>
          <w:szCs w:val="17"/>
        </w:rPr>
        <w:t xml:space="preserve">  |   </w:t>
      </w:r>
      <w:hyperlink r:id="rId94">
        <w:r w:rsidRPr="00942C14">
          <w:rPr>
            <w:rStyle w:val="Hyperlink"/>
          </w:rPr>
          <w:t>Section 63 of the Owners Corporations Act</w:t>
        </w:r>
      </w:hyperlink>
      <w:r w:rsidRPr="004943B2">
        <w:rPr>
          <w:rFonts w:asciiTheme="minorHAnsi" w:hAnsiTheme="minorHAnsi"/>
          <w:sz w:val="17"/>
          <w:szCs w:val="17"/>
        </w:rPr>
        <w:t xml:space="preserve">   |   </w:t>
      </w:r>
      <w:hyperlink r:id="rId95">
        <w:r w:rsidRPr="00942C14">
          <w:rPr>
            <w:rStyle w:val="Hyperlink"/>
          </w:rPr>
          <w:t>Owners corporation</w:t>
        </w:r>
        <w:r w:rsidR="00131841" w:rsidRPr="00942C14">
          <w:rPr>
            <w:rStyle w:val="Hyperlink"/>
          </w:rPr>
          <w:t>s</w:t>
        </w:r>
        <w:r w:rsidRPr="00942C14">
          <w:rPr>
            <w:rStyle w:val="Hyperlink"/>
          </w:rPr>
          <w:t xml:space="preserve"> model rules</w:t>
        </w:r>
      </w:hyperlink>
      <w:r w:rsidRPr="004943B2">
        <w:rPr>
          <w:rFonts w:asciiTheme="minorHAnsi" w:hAnsiTheme="minorHAnsi"/>
          <w:sz w:val="17"/>
          <w:szCs w:val="17"/>
        </w:rPr>
        <w:t xml:space="preserve">   |   </w:t>
      </w:r>
      <w:hyperlink r:id="rId96">
        <w:r w:rsidRPr="00942C14">
          <w:rPr>
            <w:rStyle w:val="Hyperlink"/>
          </w:rPr>
          <w:t>Inactive owners corporations: are they really?</w:t>
        </w:r>
      </w:hyperlink>
      <w:r w:rsidRPr="004943B2">
        <w:rPr>
          <w:rFonts w:asciiTheme="minorHAnsi" w:hAnsiTheme="minorHAnsi"/>
          <w:sz w:val="17"/>
          <w:szCs w:val="17"/>
        </w:rPr>
        <w:t xml:space="preserve">   | </w:t>
      </w:r>
      <w:r w:rsidR="006A1324" w:rsidRPr="004943B2">
        <w:rPr>
          <w:rFonts w:asciiTheme="minorHAnsi" w:hAnsiTheme="minorHAnsi"/>
          <w:sz w:val="17"/>
          <w:szCs w:val="17"/>
        </w:rPr>
        <w:t xml:space="preserve"> </w:t>
      </w:r>
      <w:r w:rsidRPr="004943B2">
        <w:rPr>
          <w:rFonts w:asciiTheme="minorHAnsi" w:hAnsiTheme="minorHAnsi"/>
          <w:sz w:val="17"/>
          <w:szCs w:val="17"/>
        </w:rPr>
        <w:t xml:space="preserve"> </w:t>
      </w:r>
      <w:hyperlink r:id="rId97" w:history="1">
        <w:r w:rsidRPr="004943B2">
          <w:rPr>
            <w:rStyle w:val="Hyperlink"/>
            <w:szCs w:val="17"/>
          </w:rPr>
          <w:t>Template statement of prescribed information</w:t>
        </w:r>
      </w:hyperlink>
      <w:r w:rsidRPr="004943B2">
        <w:rPr>
          <w:rFonts w:asciiTheme="minorHAnsi" w:hAnsiTheme="minorHAnsi"/>
          <w:sz w:val="17"/>
          <w:szCs w:val="17"/>
        </w:rPr>
        <w:t xml:space="preserve"> </w:t>
      </w:r>
      <w:r w:rsidR="006A1324" w:rsidRPr="004943B2">
        <w:rPr>
          <w:rFonts w:asciiTheme="minorHAnsi" w:hAnsiTheme="minorHAnsi"/>
          <w:sz w:val="17"/>
          <w:szCs w:val="17"/>
        </w:rPr>
        <w:t xml:space="preserve">  |   </w:t>
      </w:r>
      <w:hyperlink r:id="rId98" w:history="1">
        <w:r w:rsidR="006A1324" w:rsidRPr="004943B2">
          <w:rPr>
            <w:rStyle w:val="Hyperlink"/>
            <w:szCs w:val="17"/>
          </w:rPr>
          <w:t xml:space="preserve">Owners </w:t>
        </w:r>
        <w:r w:rsidR="00C723D7" w:rsidRPr="004943B2">
          <w:rPr>
            <w:rStyle w:val="Hyperlink"/>
            <w:szCs w:val="17"/>
          </w:rPr>
          <w:t>Corporations</w:t>
        </w:r>
        <w:r w:rsidR="006A1324" w:rsidRPr="004943B2">
          <w:rPr>
            <w:rStyle w:val="Hyperlink"/>
            <w:szCs w:val="17"/>
          </w:rPr>
          <w:t xml:space="preserve"> Regulations 2018 (Vic) Schedule 3</w:t>
        </w:r>
      </w:hyperlink>
    </w:p>
    <w:p w14:paraId="486F6C19" w14:textId="63D61007"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t>E33  Growth areas infrastructure contribution</w:t>
      </w:r>
    </w:p>
    <w:p w14:paraId="7592C3FC" w14:textId="580A3450" w:rsidR="00B84943" w:rsidRPr="004943B2" w:rsidRDefault="00B84943" w:rsidP="00B84943">
      <w:pPr>
        <w:spacing w:after="40"/>
        <w:rPr>
          <w:rFonts w:asciiTheme="minorHAnsi" w:hAnsiTheme="minorHAnsi"/>
        </w:rPr>
      </w:pPr>
      <w:r w:rsidRPr="004943B2">
        <w:rPr>
          <w:rFonts w:asciiTheme="minorHAnsi" w:hAnsiTheme="minorHAnsi"/>
        </w:rPr>
        <w:t xml:space="preserve">Where the land is in a contribution area, any GAIC liability and any work-in-kind agreement must be disclosed. Best practice is to obtain a GAIC certificate from the State Revenue Office and annex it to </w:t>
      </w:r>
      <w:proofErr w:type="gramStart"/>
      <w:r w:rsidRPr="004943B2">
        <w:rPr>
          <w:rFonts w:asciiTheme="minorHAnsi" w:hAnsiTheme="minorHAnsi"/>
        </w:rPr>
        <w:t>the section</w:t>
      </w:r>
      <w:proofErr w:type="gramEnd"/>
      <w:r w:rsidRPr="004943B2">
        <w:rPr>
          <w:rFonts w:asciiTheme="minorHAnsi" w:hAnsiTheme="minorHAnsi"/>
        </w:rPr>
        <w:t xml:space="preserve"> 32 statement, instead of relying solely on any GAIC notice that the vendor has received from the SRO. </w:t>
      </w:r>
    </w:p>
    <w:p w14:paraId="1A7590A3" w14:textId="77777777" w:rsidR="00B84943" w:rsidRPr="004943B2" w:rsidRDefault="00B84943" w:rsidP="00B84943">
      <w:pPr>
        <w:spacing w:before="40" w:after="40"/>
        <w:rPr>
          <w:rFonts w:asciiTheme="minorHAnsi" w:hAnsiTheme="minorHAnsi"/>
        </w:rPr>
      </w:pPr>
      <w:r w:rsidRPr="004943B2">
        <w:rPr>
          <w:rFonts w:asciiTheme="minorHAnsi" w:hAnsiTheme="minorHAnsi"/>
          <w:i/>
          <w:sz w:val="17"/>
        </w:rPr>
        <w:t xml:space="preserve">Further information:  </w:t>
      </w:r>
      <w:hyperlink r:id="rId99">
        <w:r w:rsidRPr="00942C14">
          <w:rPr>
            <w:rStyle w:val="Hyperlink"/>
          </w:rPr>
          <w:t>Section 32G of the Sale of Land Act</w:t>
        </w:r>
      </w:hyperlink>
      <w:r w:rsidRPr="004943B2">
        <w:rPr>
          <w:rFonts w:asciiTheme="minorHAnsi" w:hAnsiTheme="minorHAnsi"/>
          <w:sz w:val="17"/>
        </w:rPr>
        <w:t xml:space="preserve">   |   </w:t>
      </w:r>
      <w:hyperlink r:id="rId100">
        <w:r w:rsidRPr="00942C14">
          <w:rPr>
            <w:rStyle w:val="Hyperlink"/>
          </w:rPr>
          <w:t>LPLC growth areas infrastructure contribution</w:t>
        </w:r>
      </w:hyperlink>
      <w:r w:rsidRPr="00942C14">
        <w:rPr>
          <w:rStyle w:val="Hyperlink"/>
        </w:rPr>
        <w:t xml:space="preserve"> </w:t>
      </w:r>
      <w:r w:rsidRPr="004943B2">
        <w:rPr>
          <w:rFonts w:asciiTheme="minorHAnsi" w:hAnsiTheme="minorHAnsi"/>
          <w:sz w:val="17"/>
        </w:rPr>
        <w:t xml:space="preserve">  |   </w:t>
      </w:r>
      <w:hyperlink r:id="rId101">
        <w:r w:rsidRPr="00942C14">
          <w:rPr>
            <w:rStyle w:val="Hyperlink"/>
          </w:rPr>
          <w:t>SRO growth areas infrastructure contribution</w:t>
        </w:r>
      </w:hyperlink>
      <w:r w:rsidRPr="004943B2">
        <w:rPr>
          <w:rFonts w:asciiTheme="minorHAnsi" w:hAnsiTheme="minorHAnsi"/>
          <w:sz w:val="17"/>
        </w:rPr>
        <w:t xml:space="preserve">   |   </w:t>
      </w:r>
      <w:hyperlink r:id="rId102">
        <w:r w:rsidRPr="00942C14">
          <w:rPr>
            <w:rStyle w:val="Hyperlink"/>
          </w:rPr>
          <w:t>Planning and Environment Act 1987 (Vic)</w:t>
        </w:r>
      </w:hyperlink>
    </w:p>
    <w:p w14:paraId="44043D7C" w14:textId="77777777" w:rsidR="004116B5" w:rsidRDefault="004116B5" w:rsidP="00B84943">
      <w:pPr>
        <w:spacing w:before="180" w:after="40"/>
        <w:rPr>
          <w:rFonts w:asciiTheme="minorHAnsi" w:hAnsiTheme="minorHAnsi"/>
          <w:b/>
          <w:color w:val="1F3364"/>
          <w:sz w:val="21"/>
        </w:rPr>
      </w:pPr>
    </w:p>
    <w:p w14:paraId="2B3A7AE2" w14:textId="1D96FA12" w:rsidR="00B84943" w:rsidRPr="004943B2" w:rsidRDefault="00B84943" w:rsidP="00B84943">
      <w:pPr>
        <w:spacing w:before="180" w:after="40"/>
        <w:rPr>
          <w:rFonts w:asciiTheme="minorHAnsi" w:hAnsiTheme="minorHAnsi"/>
        </w:rPr>
      </w:pPr>
      <w:r w:rsidRPr="004943B2">
        <w:rPr>
          <w:rFonts w:asciiTheme="minorHAnsi" w:hAnsiTheme="minorHAnsi"/>
          <w:b/>
          <w:color w:val="1F3364"/>
          <w:sz w:val="21"/>
        </w:rPr>
        <w:lastRenderedPageBreak/>
        <w:t>E34  Services</w:t>
      </w:r>
    </w:p>
    <w:p w14:paraId="7D88F662" w14:textId="009D7726" w:rsidR="00B84943" w:rsidRPr="004943B2" w:rsidRDefault="00B84943" w:rsidP="00B84943">
      <w:pPr>
        <w:spacing w:after="40"/>
        <w:rPr>
          <w:rFonts w:asciiTheme="minorHAnsi" w:hAnsiTheme="minorHAnsi"/>
        </w:rPr>
      </w:pPr>
      <w:r w:rsidRPr="004943B2">
        <w:rPr>
          <w:rFonts w:asciiTheme="minorHAnsi" w:hAnsiTheme="minorHAnsi"/>
        </w:rPr>
        <w:t xml:space="preserve">Section 8 of the section 32 statement </w:t>
      </w:r>
      <w:r w:rsidR="00F10C5B" w:rsidRPr="004943B2">
        <w:rPr>
          <w:rFonts w:asciiTheme="minorHAnsi" w:hAnsiTheme="minorHAnsi"/>
        </w:rPr>
        <w:t>discloses</w:t>
      </w:r>
      <w:r w:rsidRPr="004943B2">
        <w:rPr>
          <w:rFonts w:asciiTheme="minorHAnsi" w:hAnsiTheme="minorHAnsi"/>
        </w:rPr>
        <w:t xml:space="preserve"> which services are not connected. Check </w:t>
      </w:r>
      <w:proofErr w:type="gramStart"/>
      <w:r w:rsidR="00F10C5B" w:rsidRPr="004943B2">
        <w:rPr>
          <w:rFonts w:asciiTheme="minorHAnsi" w:hAnsiTheme="minorHAnsi"/>
        </w:rPr>
        <w:t>the section</w:t>
      </w:r>
      <w:proofErr w:type="gramEnd"/>
      <w:r w:rsidR="00F10C5B" w:rsidRPr="004943B2">
        <w:rPr>
          <w:rFonts w:asciiTheme="minorHAnsi" w:hAnsiTheme="minorHAnsi"/>
        </w:rPr>
        <w:t xml:space="preserve"> 32 statement</w:t>
      </w:r>
      <w:r w:rsidRPr="004943B2">
        <w:rPr>
          <w:rFonts w:asciiTheme="minorHAnsi" w:hAnsiTheme="minorHAnsi"/>
        </w:rPr>
        <w:t xml:space="preserve"> against the client’s instructions and the certificates, particularly for rural land.</w:t>
      </w:r>
    </w:p>
    <w:p w14:paraId="0A60F5FB" w14:textId="4C12588E" w:rsidR="00B84943" w:rsidRPr="004943B2" w:rsidRDefault="00B84943" w:rsidP="00B84943">
      <w:pPr>
        <w:spacing w:before="40" w:after="40"/>
        <w:rPr>
          <w:rFonts w:asciiTheme="minorHAnsi" w:hAnsiTheme="minorHAnsi"/>
          <w:sz w:val="17"/>
          <w:szCs w:val="17"/>
        </w:rPr>
      </w:pPr>
      <w:r w:rsidRPr="004943B2">
        <w:rPr>
          <w:rFonts w:asciiTheme="minorHAnsi" w:hAnsiTheme="minorHAnsi"/>
          <w:i/>
          <w:sz w:val="17"/>
          <w:szCs w:val="17"/>
        </w:rPr>
        <w:t xml:space="preserve">Further information:  </w:t>
      </w:r>
      <w:hyperlink r:id="rId103">
        <w:r w:rsidRPr="00942C14">
          <w:rPr>
            <w:rStyle w:val="Hyperlink"/>
          </w:rPr>
          <w:t>Section 32H of the Sale of Land Act</w:t>
        </w:r>
      </w:hyperlink>
      <w:r w:rsidR="00FE4008" w:rsidRPr="004943B2">
        <w:rPr>
          <w:rFonts w:asciiTheme="minorHAnsi" w:hAnsiTheme="minorHAnsi"/>
          <w:sz w:val="17"/>
          <w:szCs w:val="17"/>
        </w:rPr>
        <w:t xml:space="preserve">   |   </w:t>
      </w:r>
      <w:hyperlink r:id="rId104">
        <w:r w:rsidR="00FE4008" w:rsidRPr="00942C14">
          <w:rPr>
            <w:rStyle w:val="Hyperlink"/>
          </w:rPr>
          <w:t>Section 32 Vendor Statements: avoiding the perils and pitfalls (webinar)</w:t>
        </w:r>
      </w:hyperlink>
    </w:p>
    <w:p w14:paraId="2953E218" w14:textId="77777777" w:rsidR="00FA5325" w:rsidRPr="004943B2" w:rsidRDefault="00FA5325" w:rsidP="00E77424">
      <w:pPr>
        <w:rPr>
          <w:rFonts w:asciiTheme="minorHAnsi" w:hAnsiTheme="minorHAnsi"/>
          <w:lang w:val="en-AU"/>
        </w:rPr>
      </w:pPr>
    </w:p>
    <w:sectPr w:rsidR="00FA5325" w:rsidRPr="004943B2" w:rsidSect="00FA5325">
      <w:headerReference w:type="default" r:id="rId105"/>
      <w:footerReference w:type="even" r:id="rId106"/>
      <w:footerReference w:type="default" r:id="rId107"/>
      <w:footerReference w:type="first" r:id="rId108"/>
      <w:pgSz w:w="11906" w:h="16838"/>
      <w:pgMar w:top="2268"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EAD67" w14:textId="77777777" w:rsidR="006F4998" w:rsidRDefault="006F4998" w:rsidP="00A8613F">
      <w:r>
        <w:separator/>
      </w:r>
    </w:p>
  </w:endnote>
  <w:endnote w:type="continuationSeparator" w:id="0">
    <w:p w14:paraId="26E782C6" w14:textId="77777777" w:rsidR="006F4998" w:rsidRDefault="006F4998" w:rsidP="00A86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otham-Book">
    <w:altName w:val="Cambria"/>
    <w:panose1 w:val="00000000000000000000"/>
    <w:charset w:val="00"/>
    <w:family w:val="auto"/>
    <w:notTrueType/>
    <w:pitch w:val="variable"/>
    <w:sig w:usb0="A00002FF" w:usb1="4000005B" w:usb2="00000000" w:usb3="00000000" w:csb0="0000009F" w:csb1="00000000"/>
  </w:font>
  <w:font w:name="Aptos SemiBold">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Times New Roman (Headings CS)">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FABDB" w14:textId="2B33E4C2" w:rsidR="00AD741A" w:rsidRDefault="00B84943">
    <w:pPr>
      <w:pStyle w:val="Footer"/>
    </w:pPr>
    <w:r>
      <w:rPr>
        <w:noProof/>
        <w14:ligatures w14:val="standardContextual"/>
      </w:rPr>
      <mc:AlternateContent>
        <mc:Choice Requires="wps">
          <w:drawing>
            <wp:anchor distT="0" distB="0" distL="0" distR="0" simplePos="0" relativeHeight="251658244" behindDoc="0" locked="0" layoutInCell="1" allowOverlap="1" wp14:anchorId="00DBC39E" wp14:editId="6F5E6F58">
              <wp:simplePos x="635" y="635"/>
              <wp:positionH relativeFrom="page">
                <wp:align>center</wp:align>
              </wp:positionH>
              <wp:positionV relativeFrom="page">
                <wp:align>bottom</wp:align>
              </wp:positionV>
              <wp:extent cx="1323975" cy="404495"/>
              <wp:effectExtent l="0" t="0" r="9525" b="0"/>
              <wp:wrapNone/>
              <wp:docPr id="1640381102" name="Text Box 5"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23975" cy="404495"/>
                      </a:xfrm>
                      <a:prstGeom prst="rect">
                        <a:avLst/>
                      </a:prstGeom>
                      <a:noFill/>
                      <a:ln>
                        <a:noFill/>
                      </a:ln>
                    </wps:spPr>
                    <wps:txbx>
                      <w:txbxContent>
                        <w:p w14:paraId="44E38CA9" w14:textId="6898199A" w:rsidR="00B84943" w:rsidRPr="00B84943" w:rsidRDefault="00B84943" w:rsidP="00B84943">
                          <w:pPr>
                            <w:spacing w:after="0"/>
                            <w:rPr>
                              <w:rFonts w:ascii="Aptos" w:eastAsia="Aptos" w:hAnsi="Aptos" w:cs="Aptos"/>
                              <w:noProof/>
                              <w:color w:val="FF0000"/>
                              <w:sz w:val="24"/>
                              <w:szCs w:val="24"/>
                            </w:rPr>
                          </w:pPr>
                          <w:r w:rsidRPr="00B84943">
                            <w:rPr>
                              <w:rFonts w:ascii="Aptos" w:eastAsia="Aptos" w:hAnsi="Aptos" w:cs="Aptos"/>
                              <w:noProof/>
                              <w:color w:val="FF0000"/>
                              <w:sz w:val="24"/>
                              <w:szCs w:val="24"/>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DBC39E" id="_x0000_t202" coordsize="21600,21600" o:spt="202" path="m,l,21600r21600,l21600,xe">
              <v:stroke joinstyle="miter"/>
              <v:path gradientshapeok="t" o:connecttype="rect"/>
            </v:shapetype>
            <v:shape id="Text Box 5" o:spid="_x0000_s1027" type="#_x0000_t202" alt="OFFICIAL : Sensitive" style="position:absolute;margin-left:0;margin-top:0;width:104.25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" filled="f" stroked="f">
              <v:textbox style="mso-fit-shape-to-text:t" inset="0,0,0,15pt">
                <w:txbxContent>
                  <w:p w14:paraId="44E38CA9" w14:textId="6898199A" w:rsidR="00B84943" w:rsidRPr="00B84943" w:rsidRDefault="00B84943" w:rsidP="00B84943">
                    <w:pPr>
                      <w:spacing w:after="0"/>
                      <w:rPr>
                        <w:rFonts w:ascii="Aptos" w:eastAsia="Aptos" w:hAnsi="Aptos" w:cs="Aptos"/>
                        <w:noProof/>
                        <w:color w:val="FF0000"/>
                        <w:sz w:val="24"/>
                        <w:szCs w:val="24"/>
                      </w:rPr>
                    </w:pPr>
                    <w:r w:rsidRPr="00B84943">
                      <w:rPr>
                        <w:rFonts w:ascii="Aptos" w:eastAsia="Aptos" w:hAnsi="Aptos" w:cs="Aptos"/>
                        <w:noProof/>
                        <w:color w:val="FF0000"/>
                        <w:sz w:val="24"/>
                        <w:szCs w:val="24"/>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26DCA" w14:textId="2D9A6C72" w:rsidR="00A140EE" w:rsidRDefault="0088094D" w:rsidP="0088094D">
    <w:pPr>
      <w:pStyle w:val="Footer"/>
      <w:jc w:val="right"/>
    </w:pPr>
    <w:r>
      <w:t xml:space="preserve"> </w:t>
    </w:r>
    <w:r w:rsidR="00A140EE" w:rsidRPr="00224A89">
      <w:rPr>
        <w:rStyle w:val="PageNumber"/>
      </w:rPr>
      <w:t xml:space="preserve">Page </w:t>
    </w:r>
    <w:r w:rsidR="00A140EE" w:rsidRPr="00224A89">
      <w:rPr>
        <w:rStyle w:val="PageNumber"/>
      </w:rPr>
      <w:fldChar w:fldCharType="begin"/>
    </w:r>
    <w:r w:rsidR="00A140EE" w:rsidRPr="00224A89">
      <w:rPr>
        <w:rStyle w:val="PageNumber"/>
      </w:rPr>
      <w:instrText xml:space="preserve"> PAGE  \* Arabic  \* MERGEFORMAT </w:instrText>
    </w:r>
    <w:r w:rsidR="00A140EE" w:rsidRPr="00224A89">
      <w:rPr>
        <w:rStyle w:val="PageNumber"/>
      </w:rPr>
      <w:fldChar w:fldCharType="separate"/>
    </w:r>
    <w:r w:rsidR="00A140EE" w:rsidRPr="00224A89">
      <w:rPr>
        <w:rStyle w:val="PageNumber"/>
      </w:rPr>
      <w:t>2</w:t>
    </w:r>
    <w:r w:rsidR="00A140EE" w:rsidRPr="00224A89">
      <w:rPr>
        <w:rStyle w:val="PageNumber"/>
      </w:rPr>
      <w:fldChar w:fldCharType="end"/>
    </w:r>
    <w:r w:rsidR="00A140EE" w:rsidRPr="00224A89">
      <w:rPr>
        <w:rStyle w:val="PageNumber"/>
      </w:rPr>
      <w:t xml:space="preserve"> of </w:t>
    </w:r>
    <w:r w:rsidR="00A140EE" w:rsidRPr="00224A89">
      <w:rPr>
        <w:rStyle w:val="PageNumber"/>
      </w:rPr>
      <w:fldChar w:fldCharType="begin"/>
    </w:r>
    <w:r w:rsidR="00A140EE" w:rsidRPr="00224A89">
      <w:rPr>
        <w:rStyle w:val="PageNumber"/>
      </w:rPr>
      <w:instrText xml:space="preserve"> NUMPAGES  \* Arabic  \* MERGEFORMAT </w:instrText>
    </w:r>
    <w:r w:rsidR="00A140EE" w:rsidRPr="00224A89">
      <w:rPr>
        <w:rStyle w:val="PageNumber"/>
      </w:rPr>
      <w:fldChar w:fldCharType="separate"/>
    </w:r>
    <w:r w:rsidR="00A140EE" w:rsidRPr="00224A89">
      <w:rPr>
        <w:rStyle w:val="PageNumber"/>
      </w:rPr>
      <w:t>2</w:t>
    </w:r>
    <w:r w:rsidR="00A140EE" w:rsidRPr="00224A89">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ECE56" w14:textId="73BB86DD" w:rsidR="00AD741A" w:rsidRDefault="00B84943">
    <w:pPr>
      <w:pStyle w:val="Footer"/>
    </w:pPr>
    <w:r>
      <w:rPr>
        <w:noProof/>
        <w14:ligatures w14:val="standardContextual"/>
      </w:rPr>
      <mc:AlternateContent>
        <mc:Choice Requires="wps">
          <w:drawing>
            <wp:anchor distT="0" distB="0" distL="0" distR="0" simplePos="0" relativeHeight="251658243" behindDoc="0" locked="0" layoutInCell="1" allowOverlap="1" wp14:anchorId="7C31CC09" wp14:editId="4F6BD8BB">
              <wp:simplePos x="635" y="635"/>
              <wp:positionH relativeFrom="page">
                <wp:align>center</wp:align>
              </wp:positionH>
              <wp:positionV relativeFrom="page">
                <wp:align>bottom</wp:align>
              </wp:positionV>
              <wp:extent cx="1323975" cy="404495"/>
              <wp:effectExtent l="0" t="0" r="9525" b="0"/>
              <wp:wrapNone/>
              <wp:docPr id="1719103396" name="Text Box 4"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23975" cy="404495"/>
                      </a:xfrm>
                      <a:prstGeom prst="rect">
                        <a:avLst/>
                      </a:prstGeom>
                      <a:noFill/>
                      <a:ln>
                        <a:noFill/>
                      </a:ln>
                    </wps:spPr>
                    <wps:txbx>
                      <w:txbxContent>
                        <w:p w14:paraId="0985C8A0" w14:textId="6C6E4A95" w:rsidR="00B84943" w:rsidRPr="00B84943" w:rsidRDefault="00B84943" w:rsidP="00B84943">
                          <w:pPr>
                            <w:spacing w:after="0"/>
                            <w:rPr>
                              <w:rFonts w:ascii="Aptos" w:eastAsia="Aptos" w:hAnsi="Aptos" w:cs="Aptos"/>
                              <w:noProof/>
                              <w:color w:val="FF0000"/>
                              <w:sz w:val="24"/>
                              <w:szCs w:val="24"/>
                            </w:rPr>
                          </w:pPr>
                          <w:r w:rsidRPr="00B84943">
                            <w:rPr>
                              <w:rFonts w:ascii="Aptos" w:eastAsia="Aptos" w:hAnsi="Aptos" w:cs="Aptos"/>
                              <w:noProof/>
                              <w:color w:val="FF0000"/>
                              <w:sz w:val="24"/>
                              <w:szCs w:val="24"/>
                            </w:rPr>
                            <w:t>OFFICIAL :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31CC09" id="_x0000_t202" coordsize="21600,21600" o:spt="202" path="m,l,21600r21600,l21600,xe">
              <v:stroke joinstyle="miter"/>
              <v:path gradientshapeok="t" o:connecttype="rect"/>
            </v:shapetype>
            <v:shape id="Text Box 4" o:spid="_x0000_s1028" type="#_x0000_t202" alt="OFFICIAL : Sensitive" style="position:absolute;margin-left:0;margin-top:0;width:104.2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" filled="f" stroked="f">
              <v:textbox style="mso-fit-shape-to-text:t" inset="0,0,0,15pt">
                <w:txbxContent>
                  <w:p w14:paraId="0985C8A0" w14:textId="6C6E4A95" w:rsidR="00B84943" w:rsidRPr="00B84943" w:rsidRDefault="00B84943" w:rsidP="00B84943">
                    <w:pPr>
                      <w:spacing w:after="0"/>
                      <w:rPr>
                        <w:rFonts w:ascii="Aptos" w:eastAsia="Aptos" w:hAnsi="Aptos" w:cs="Aptos"/>
                        <w:noProof/>
                        <w:color w:val="FF0000"/>
                        <w:sz w:val="24"/>
                        <w:szCs w:val="24"/>
                      </w:rPr>
                    </w:pPr>
                    <w:r w:rsidRPr="00B84943">
                      <w:rPr>
                        <w:rFonts w:ascii="Aptos" w:eastAsia="Aptos" w:hAnsi="Aptos" w:cs="Aptos"/>
                        <w:noProof/>
                        <w:color w:val="FF0000"/>
                        <w:sz w:val="24"/>
                        <w:szCs w:val="24"/>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C86D2" w14:textId="77777777" w:rsidR="006F4998" w:rsidRDefault="006F4998" w:rsidP="00A8613F"/>
  </w:footnote>
  <w:footnote w:type="continuationSeparator" w:id="0">
    <w:p w14:paraId="1FF339AA" w14:textId="77777777" w:rsidR="006F4998" w:rsidRDefault="006F4998" w:rsidP="00A86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7C87" w14:textId="77777777" w:rsidR="00D27862" w:rsidRDefault="00BF069D" w:rsidP="00A8613F">
    <w:r>
      <w:rPr>
        <w:noProof/>
        <w14:ligatures w14:val="standardContextual"/>
      </w:rPr>
      <w:drawing>
        <wp:anchor distT="0" distB="0" distL="114300" distR="114300" simplePos="0" relativeHeight="251658242" behindDoc="0" locked="0" layoutInCell="1" allowOverlap="1" wp14:anchorId="5FD2C066" wp14:editId="0D4FC539">
          <wp:simplePos x="0" y="0"/>
          <wp:positionH relativeFrom="column">
            <wp:posOffset>4518660</wp:posOffset>
          </wp:positionH>
          <wp:positionV relativeFrom="paragraph">
            <wp:posOffset>-321945</wp:posOffset>
          </wp:positionV>
          <wp:extent cx="1948815" cy="735965"/>
          <wp:effectExtent l="0" t="0" r="0" b="0"/>
          <wp:wrapNone/>
          <wp:docPr id="15046393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39357" name="Picture 1504639357"/>
                  <pic:cNvPicPr/>
                </pic:nvPicPr>
                <pic:blipFill>
                  <a:blip r:embed="rId1"/>
                  <a:stretch>
                    <a:fillRect/>
                  </a:stretch>
                </pic:blipFill>
                <pic:spPr>
                  <a:xfrm>
                    <a:off x="0" y="0"/>
                    <a:ext cx="1948815" cy="735965"/>
                  </a:xfrm>
                  <a:prstGeom prst="rect">
                    <a:avLst/>
                  </a:prstGeom>
                </pic:spPr>
              </pic:pic>
            </a:graphicData>
          </a:graphic>
          <wp14:sizeRelH relativeFrom="page">
            <wp14:pctWidth>0</wp14:pctWidth>
          </wp14:sizeRelH>
          <wp14:sizeRelV relativeFrom="page">
            <wp14:pctHeight>0</wp14:pctHeight>
          </wp14:sizeRelV>
        </wp:anchor>
      </w:drawing>
    </w:r>
    <w:r w:rsidRPr="00863B91">
      <w:rPr>
        <w:noProof/>
        <w:color w:val="FFFEFF" w:themeColor="background1"/>
        <w14:ligatures w14:val="standardContextual"/>
      </w:rPr>
      <mc:AlternateContent>
        <mc:Choice Requires="wps">
          <w:drawing>
            <wp:anchor distT="0" distB="0" distL="114300" distR="114300" simplePos="0" relativeHeight="251658240" behindDoc="0" locked="0" layoutInCell="1" allowOverlap="1" wp14:anchorId="5E55DF42" wp14:editId="20031644">
              <wp:simplePos x="0" y="0"/>
              <wp:positionH relativeFrom="column">
                <wp:posOffset>-713177</wp:posOffset>
              </wp:positionH>
              <wp:positionV relativeFrom="paragraph">
                <wp:posOffset>-446405</wp:posOffset>
              </wp:positionV>
              <wp:extent cx="7623810" cy="1027430"/>
              <wp:effectExtent l="0" t="0" r="0" b="1270"/>
              <wp:wrapNone/>
              <wp:docPr id="2130527457" name="Rectangle 3"/>
              <wp:cNvGraphicFramePr/>
              <a:graphic xmlns:a="http://schemas.openxmlformats.org/drawingml/2006/main">
                <a:graphicData uri="http://schemas.microsoft.com/office/word/2010/wordprocessingShape">
                  <wps:wsp>
                    <wps:cNvSpPr/>
                    <wps:spPr>
                      <a:xfrm>
                        <a:off x="0" y="0"/>
                        <a:ext cx="7623810" cy="1027430"/>
                      </a:xfrm>
                      <a:prstGeom prst="rect">
                        <a:avLst/>
                      </a:prstGeom>
                      <a:solidFill>
                        <a:srgbClr val="082F4C"/>
                      </a:solidFill>
                      <a:ln>
                        <a:noFill/>
                      </a:ln>
                    </wps:spPr>
                    <wps:style>
                      <a:lnRef idx="2">
                        <a:schemeClr val="dk1">
                          <a:shade val="15000"/>
                        </a:schemeClr>
                      </a:lnRef>
                      <a:fillRef idx="1">
                        <a:schemeClr val="dk1"/>
                      </a:fillRef>
                      <a:effectRef idx="0">
                        <a:schemeClr val="dk1"/>
                      </a:effectRef>
                      <a:fontRef idx="minor">
                        <a:schemeClr val="lt1"/>
                      </a:fontRef>
                    </wps:style>
                    <wps:txbx>
                      <w:txbxContent>
                        <w:p w14:paraId="00012ADA" w14:textId="77777777" w:rsidR="00BF069D" w:rsidRDefault="00BF069D" w:rsidP="00BF069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5DF42" id="Rectangle 3" o:spid="_x0000_s1026" style="position:absolute;margin-left:-56.15pt;margin-top:-35.15pt;width:600.3pt;height:8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" fillcolor="#082f4c" stroked="f" strokeweight="1.5pt">
              <v:textbox>
                <w:txbxContent>
                  <w:p w14:paraId="00012ADA" w14:textId="77777777" w:rsidR="00BF069D" w:rsidRDefault="00BF069D" w:rsidP="00BF069D"/>
                </w:txbxContent>
              </v:textbox>
            </v:rect>
          </w:pict>
        </mc:Fallback>
      </mc:AlternateContent>
    </w:r>
    <w:r>
      <w:rPr>
        <w:noProof/>
        <w14:ligatures w14:val="standardContextual"/>
      </w:rPr>
      <mc:AlternateContent>
        <mc:Choice Requires="wps">
          <w:drawing>
            <wp:anchor distT="0" distB="0" distL="114300" distR="114300" simplePos="0" relativeHeight="251658241" behindDoc="0" locked="0" layoutInCell="1" allowOverlap="1" wp14:anchorId="2B077E0A" wp14:editId="5BFA6CE3">
              <wp:simplePos x="0" y="0"/>
              <wp:positionH relativeFrom="column">
                <wp:posOffset>-757555</wp:posOffset>
              </wp:positionH>
              <wp:positionV relativeFrom="paragraph">
                <wp:posOffset>553085</wp:posOffset>
              </wp:positionV>
              <wp:extent cx="7617460" cy="73660"/>
              <wp:effectExtent l="0" t="0" r="2540" b="2540"/>
              <wp:wrapNone/>
              <wp:docPr id="232330718" name="Rectangle 3"/>
              <wp:cNvGraphicFramePr/>
              <a:graphic xmlns:a="http://schemas.openxmlformats.org/drawingml/2006/main">
                <a:graphicData uri="http://schemas.microsoft.com/office/word/2010/wordprocessingShape">
                  <wps:wsp>
                    <wps:cNvSpPr/>
                    <wps:spPr>
                      <a:xfrm>
                        <a:off x="0" y="0"/>
                        <a:ext cx="7617460" cy="73660"/>
                      </a:xfrm>
                      <a:prstGeom prst="rect">
                        <a:avLst/>
                      </a:prstGeom>
                      <a:solidFill>
                        <a:srgbClr val="057A95"/>
                      </a:solidFill>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7A56EBA" id="Rectangle 3" o:spid="_x0000_s1026" style="position:absolute;margin-left:-59.65pt;margin-top:43.55pt;width:599.8pt;height:5.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" fillcolor="#057a95" stroked="f"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B491E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526E4C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82AA5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6031B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14FC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45BD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7FA1D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39280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D70952"/>
    <w:multiLevelType w:val="hybridMultilevel"/>
    <w:tmpl w:val="A57C0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09174E"/>
    <w:multiLevelType w:val="hybridMultilevel"/>
    <w:tmpl w:val="AFD2C1F2"/>
    <w:lvl w:ilvl="0" w:tplc="EE189D1E">
      <w:start w:val="1"/>
      <w:numFmt w:val="bullet"/>
      <w:lvlText w:val=""/>
      <w:lvlJc w:val="left"/>
      <w:pPr>
        <w:ind w:left="720" w:hanging="360"/>
      </w:pPr>
      <w:rPr>
        <w:rFonts w:ascii="Symbol" w:hAnsi="Symbol" w:hint="default"/>
      </w:rPr>
    </w:lvl>
    <w:lvl w:ilvl="1" w:tplc="0F2661B4">
      <w:start w:val="1"/>
      <w:numFmt w:val="bullet"/>
      <w:lvlText w:val="o"/>
      <w:lvlJc w:val="left"/>
      <w:pPr>
        <w:ind w:left="1440" w:hanging="360"/>
      </w:pPr>
      <w:rPr>
        <w:rFonts w:ascii="Courier New" w:hAnsi="Courier New" w:hint="default"/>
      </w:rPr>
    </w:lvl>
    <w:lvl w:ilvl="2" w:tplc="966C1766">
      <w:start w:val="1"/>
      <w:numFmt w:val="bullet"/>
      <w:lvlText w:val=""/>
      <w:lvlJc w:val="left"/>
      <w:pPr>
        <w:ind w:left="2160" w:hanging="360"/>
      </w:pPr>
      <w:rPr>
        <w:rFonts w:ascii="Wingdings" w:hAnsi="Wingdings" w:hint="default"/>
      </w:rPr>
    </w:lvl>
    <w:lvl w:ilvl="3" w:tplc="1598CDB8">
      <w:start w:val="1"/>
      <w:numFmt w:val="bullet"/>
      <w:lvlText w:val=""/>
      <w:lvlJc w:val="left"/>
      <w:pPr>
        <w:ind w:left="2880" w:hanging="360"/>
      </w:pPr>
      <w:rPr>
        <w:rFonts w:ascii="Symbol" w:hAnsi="Symbol" w:hint="default"/>
      </w:rPr>
    </w:lvl>
    <w:lvl w:ilvl="4" w:tplc="C26071BA">
      <w:start w:val="1"/>
      <w:numFmt w:val="bullet"/>
      <w:lvlText w:val="o"/>
      <w:lvlJc w:val="left"/>
      <w:pPr>
        <w:ind w:left="3600" w:hanging="360"/>
      </w:pPr>
      <w:rPr>
        <w:rFonts w:ascii="Courier New" w:hAnsi="Courier New" w:hint="default"/>
      </w:rPr>
    </w:lvl>
    <w:lvl w:ilvl="5" w:tplc="76A04614">
      <w:start w:val="1"/>
      <w:numFmt w:val="bullet"/>
      <w:lvlText w:val=""/>
      <w:lvlJc w:val="left"/>
      <w:pPr>
        <w:ind w:left="4320" w:hanging="360"/>
      </w:pPr>
      <w:rPr>
        <w:rFonts w:ascii="Wingdings" w:hAnsi="Wingdings" w:hint="default"/>
      </w:rPr>
    </w:lvl>
    <w:lvl w:ilvl="6" w:tplc="E18EBCF8">
      <w:start w:val="1"/>
      <w:numFmt w:val="bullet"/>
      <w:lvlText w:val=""/>
      <w:lvlJc w:val="left"/>
      <w:pPr>
        <w:ind w:left="5040" w:hanging="360"/>
      </w:pPr>
      <w:rPr>
        <w:rFonts w:ascii="Symbol" w:hAnsi="Symbol" w:hint="default"/>
      </w:rPr>
    </w:lvl>
    <w:lvl w:ilvl="7" w:tplc="1FFC7136">
      <w:start w:val="1"/>
      <w:numFmt w:val="bullet"/>
      <w:lvlText w:val="o"/>
      <w:lvlJc w:val="left"/>
      <w:pPr>
        <w:ind w:left="5760" w:hanging="360"/>
      </w:pPr>
      <w:rPr>
        <w:rFonts w:ascii="Courier New" w:hAnsi="Courier New" w:hint="default"/>
      </w:rPr>
    </w:lvl>
    <w:lvl w:ilvl="8" w:tplc="A3E2C598">
      <w:start w:val="1"/>
      <w:numFmt w:val="bullet"/>
      <w:lvlText w:val=""/>
      <w:lvlJc w:val="left"/>
      <w:pPr>
        <w:ind w:left="6480" w:hanging="360"/>
      </w:pPr>
      <w:rPr>
        <w:rFonts w:ascii="Wingdings" w:hAnsi="Wingdings" w:hint="default"/>
      </w:rPr>
    </w:lvl>
  </w:abstractNum>
  <w:abstractNum w:abstractNumId="12" w15:restartNumberingAfterBreak="0">
    <w:nsid w:val="066C2075"/>
    <w:multiLevelType w:val="hybridMultilevel"/>
    <w:tmpl w:val="58E49368"/>
    <w:lvl w:ilvl="0" w:tplc="08090003">
      <w:start w:val="1"/>
      <w:numFmt w:val="bullet"/>
      <w:lvlText w:val="o"/>
      <w:lvlJc w:val="left"/>
      <w:pPr>
        <w:ind w:left="928" w:hanging="360"/>
      </w:pPr>
      <w:rPr>
        <w:rFonts w:ascii="Courier New" w:hAnsi="Courier New" w:cs="Courier New" w:hint="default"/>
      </w:rPr>
    </w:lvl>
    <w:lvl w:ilvl="1" w:tplc="0809000F">
      <w:start w:val="1"/>
      <w:numFmt w:val="decimal"/>
      <w:lvlText w:val="%2."/>
      <w:lvlJc w:val="left"/>
      <w:pPr>
        <w:ind w:left="1648" w:hanging="360"/>
      </w:pPr>
    </w:lvl>
    <w:lvl w:ilvl="2" w:tplc="FFFFFFFF">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3" w15:restartNumberingAfterBreak="0">
    <w:nsid w:val="09676123"/>
    <w:multiLevelType w:val="hybridMultilevel"/>
    <w:tmpl w:val="A9164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6444C2"/>
    <w:multiLevelType w:val="hybridMultilevel"/>
    <w:tmpl w:val="08424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A46F10"/>
    <w:multiLevelType w:val="hybridMultilevel"/>
    <w:tmpl w:val="05BE9A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211CFF"/>
    <w:multiLevelType w:val="hybridMultilevel"/>
    <w:tmpl w:val="56B4A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0093062"/>
    <w:multiLevelType w:val="hybridMultilevel"/>
    <w:tmpl w:val="AA840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26067B0"/>
    <w:multiLevelType w:val="multilevel"/>
    <w:tmpl w:val="33F4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8F061A"/>
    <w:multiLevelType w:val="hybridMultilevel"/>
    <w:tmpl w:val="8A80F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836930"/>
    <w:multiLevelType w:val="hybridMultilevel"/>
    <w:tmpl w:val="35F4322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B642281"/>
    <w:multiLevelType w:val="hybridMultilevel"/>
    <w:tmpl w:val="DC2878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142172"/>
    <w:multiLevelType w:val="hybridMultilevel"/>
    <w:tmpl w:val="AA167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753A35"/>
    <w:multiLevelType w:val="hybridMultilevel"/>
    <w:tmpl w:val="EE34F5B0"/>
    <w:lvl w:ilvl="0" w:tplc="E51037B0">
      <w:start w:val="1"/>
      <w:numFmt w:val="bullet"/>
      <w:pStyle w:val="ListParagraph"/>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529535232">
    <w:abstractNumId w:val="20"/>
  </w:num>
  <w:num w:numId="2" w16cid:durableId="1015957039">
    <w:abstractNumId w:val="23"/>
  </w:num>
  <w:num w:numId="3" w16cid:durableId="1619722374">
    <w:abstractNumId w:val="0"/>
  </w:num>
  <w:num w:numId="4" w16cid:durableId="777220850">
    <w:abstractNumId w:val="1"/>
  </w:num>
  <w:num w:numId="5" w16cid:durableId="1535725306">
    <w:abstractNumId w:val="8"/>
  </w:num>
  <w:num w:numId="6" w16cid:durableId="1796828973">
    <w:abstractNumId w:val="9"/>
  </w:num>
  <w:num w:numId="7" w16cid:durableId="303701256">
    <w:abstractNumId w:val="7"/>
  </w:num>
  <w:num w:numId="8" w16cid:durableId="233392064">
    <w:abstractNumId w:val="6"/>
  </w:num>
  <w:num w:numId="9" w16cid:durableId="955020434">
    <w:abstractNumId w:val="5"/>
  </w:num>
  <w:num w:numId="10" w16cid:durableId="1568419066">
    <w:abstractNumId w:val="4"/>
  </w:num>
  <w:num w:numId="11" w16cid:durableId="1524709057">
    <w:abstractNumId w:val="12"/>
  </w:num>
  <w:num w:numId="12" w16cid:durableId="1013148557">
    <w:abstractNumId w:val="18"/>
  </w:num>
  <w:num w:numId="13" w16cid:durableId="2061860856">
    <w:abstractNumId w:val="3"/>
  </w:num>
  <w:num w:numId="14" w16cid:durableId="564998887">
    <w:abstractNumId w:val="2"/>
  </w:num>
  <w:num w:numId="15" w16cid:durableId="430466926">
    <w:abstractNumId w:val="14"/>
  </w:num>
  <w:num w:numId="16" w16cid:durableId="420839014">
    <w:abstractNumId w:val="21"/>
  </w:num>
  <w:num w:numId="17" w16cid:durableId="190917278">
    <w:abstractNumId w:val="11"/>
  </w:num>
  <w:num w:numId="18" w16cid:durableId="254947742">
    <w:abstractNumId w:val="16"/>
  </w:num>
  <w:num w:numId="19" w16cid:durableId="898638111">
    <w:abstractNumId w:val="19"/>
  </w:num>
  <w:num w:numId="20" w16cid:durableId="1647931330">
    <w:abstractNumId w:val="15"/>
  </w:num>
  <w:num w:numId="21" w16cid:durableId="1356887884">
    <w:abstractNumId w:val="22"/>
  </w:num>
  <w:num w:numId="22" w16cid:durableId="968701524">
    <w:abstractNumId w:val="10"/>
  </w:num>
  <w:num w:numId="23" w16cid:durableId="1969699496">
    <w:abstractNumId w:val="13"/>
  </w:num>
  <w:num w:numId="24" w16cid:durableId="19367861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43"/>
    <w:rsid w:val="000000D2"/>
    <w:rsid w:val="00002F48"/>
    <w:rsid w:val="000036C4"/>
    <w:rsid w:val="0000525C"/>
    <w:rsid w:val="00006068"/>
    <w:rsid w:val="00006085"/>
    <w:rsid w:val="0000644B"/>
    <w:rsid w:val="00011058"/>
    <w:rsid w:val="00011CFF"/>
    <w:rsid w:val="00011F53"/>
    <w:rsid w:val="00012C6F"/>
    <w:rsid w:val="000144DC"/>
    <w:rsid w:val="00016756"/>
    <w:rsid w:val="00021DC1"/>
    <w:rsid w:val="00023DDD"/>
    <w:rsid w:val="0002491E"/>
    <w:rsid w:val="00024DC4"/>
    <w:rsid w:val="00025654"/>
    <w:rsid w:val="000278BC"/>
    <w:rsid w:val="00027F97"/>
    <w:rsid w:val="00030C28"/>
    <w:rsid w:val="00030D81"/>
    <w:rsid w:val="0003469D"/>
    <w:rsid w:val="00035343"/>
    <w:rsid w:val="00040E98"/>
    <w:rsid w:val="000426FF"/>
    <w:rsid w:val="00043384"/>
    <w:rsid w:val="00043F75"/>
    <w:rsid w:val="00044589"/>
    <w:rsid w:val="000453EE"/>
    <w:rsid w:val="00045EDF"/>
    <w:rsid w:val="0005033E"/>
    <w:rsid w:val="000507C1"/>
    <w:rsid w:val="000514E0"/>
    <w:rsid w:val="00053DDE"/>
    <w:rsid w:val="00054AF7"/>
    <w:rsid w:val="00054D07"/>
    <w:rsid w:val="000560BB"/>
    <w:rsid w:val="00057FD7"/>
    <w:rsid w:val="000601D5"/>
    <w:rsid w:val="000607CF"/>
    <w:rsid w:val="0006086A"/>
    <w:rsid w:val="000615D0"/>
    <w:rsid w:val="00065C7C"/>
    <w:rsid w:val="00066406"/>
    <w:rsid w:val="00066591"/>
    <w:rsid w:val="0006693B"/>
    <w:rsid w:val="000676C8"/>
    <w:rsid w:val="0007161D"/>
    <w:rsid w:val="00072626"/>
    <w:rsid w:val="00072830"/>
    <w:rsid w:val="000735AB"/>
    <w:rsid w:val="00074403"/>
    <w:rsid w:val="00074E77"/>
    <w:rsid w:val="00075A5F"/>
    <w:rsid w:val="00077DB6"/>
    <w:rsid w:val="00077FB3"/>
    <w:rsid w:val="00080B3C"/>
    <w:rsid w:val="00085380"/>
    <w:rsid w:val="00086351"/>
    <w:rsid w:val="000923C3"/>
    <w:rsid w:val="00094A99"/>
    <w:rsid w:val="000951A1"/>
    <w:rsid w:val="00095FDB"/>
    <w:rsid w:val="0009734E"/>
    <w:rsid w:val="00097F57"/>
    <w:rsid w:val="000A532B"/>
    <w:rsid w:val="000A53AB"/>
    <w:rsid w:val="000A5948"/>
    <w:rsid w:val="000B146C"/>
    <w:rsid w:val="000B1E75"/>
    <w:rsid w:val="000B2819"/>
    <w:rsid w:val="000B3305"/>
    <w:rsid w:val="000B49E9"/>
    <w:rsid w:val="000B6119"/>
    <w:rsid w:val="000B6F14"/>
    <w:rsid w:val="000B741C"/>
    <w:rsid w:val="000B7599"/>
    <w:rsid w:val="000C0E6B"/>
    <w:rsid w:val="000C2952"/>
    <w:rsid w:val="000C2FD2"/>
    <w:rsid w:val="000C34B3"/>
    <w:rsid w:val="000C4F37"/>
    <w:rsid w:val="000C5432"/>
    <w:rsid w:val="000C54B4"/>
    <w:rsid w:val="000C6974"/>
    <w:rsid w:val="000C72C1"/>
    <w:rsid w:val="000D2F87"/>
    <w:rsid w:val="000D38EC"/>
    <w:rsid w:val="000D4D51"/>
    <w:rsid w:val="000D6598"/>
    <w:rsid w:val="000D6D5C"/>
    <w:rsid w:val="000E0BDE"/>
    <w:rsid w:val="000E1504"/>
    <w:rsid w:val="000E3063"/>
    <w:rsid w:val="000E4FFD"/>
    <w:rsid w:val="000E66FC"/>
    <w:rsid w:val="000E7D08"/>
    <w:rsid w:val="000F0727"/>
    <w:rsid w:val="000F0E01"/>
    <w:rsid w:val="000F0F0A"/>
    <w:rsid w:val="000F127E"/>
    <w:rsid w:val="000F2464"/>
    <w:rsid w:val="000F27FA"/>
    <w:rsid w:val="000F3320"/>
    <w:rsid w:val="000F45DA"/>
    <w:rsid w:val="000F6D13"/>
    <w:rsid w:val="0010073F"/>
    <w:rsid w:val="00101C21"/>
    <w:rsid w:val="001031AE"/>
    <w:rsid w:val="001044A1"/>
    <w:rsid w:val="001101B3"/>
    <w:rsid w:val="00112408"/>
    <w:rsid w:val="00113282"/>
    <w:rsid w:val="001135E8"/>
    <w:rsid w:val="001155BC"/>
    <w:rsid w:val="00116C13"/>
    <w:rsid w:val="00116DE9"/>
    <w:rsid w:val="00116FC3"/>
    <w:rsid w:val="00117177"/>
    <w:rsid w:val="001200E4"/>
    <w:rsid w:val="00121EE6"/>
    <w:rsid w:val="001220F0"/>
    <w:rsid w:val="001233E5"/>
    <w:rsid w:val="00123717"/>
    <w:rsid w:val="00124ECF"/>
    <w:rsid w:val="001254E6"/>
    <w:rsid w:val="001260AB"/>
    <w:rsid w:val="00126287"/>
    <w:rsid w:val="0012651A"/>
    <w:rsid w:val="00131841"/>
    <w:rsid w:val="00131DDF"/>
    <w:rsid w:val="00132EDF"/>
    <w:rsid w:val="001368C4"/>
    <w:rsid w:val="00137B09"/>
    <w:rsid w:val="00141E9D"/>
    <w:rsid w:val="00142D77"/>
    <w:rsid w:val="001439B2"/>
    <w:rsid w:val="00143A49"/>
    <w:rsid w:val="001444ED"/>
    <w:rsid w:val="00146E1D"/>
    <w:rsid w:val="00150752"/>
    <w:rsid w:val="001515BC"/>
    <w:rsid w:val="00151C7D"/>
    <w:rsid w:val="00153401"/>
    <w:rsid w:val="00155D0D"/>
    <w:rsid w:val="00156C56"/>
    <w:rsid w:val="00160DF7"/>
    <w:rsid w:val="001629AF"/>
    <w:rsid w:val="00162BD1"/>
    <w:rsid w:val="00163579"/>
    <w:rsid w:val="0016365A"/>
    <w:rsid w:val="00164419"/>
    <w:rsid w:val="00165C6A"/>
    <w:rsid w:val="00165E84"/>
    <w:rsid w:val="00166012"/>
    <w:rsid w:val="00166698"/>
    <w:rsid w:val="00166CFE"/>
    <w:rsid w:val="00172BB0"/>
    <w:rsid w:val="0017643C"/>
    <w:rsid w:val="00176F17"/>
    <w:rsid w:val="00177A90"/>
    <w:rsid w:val="0018281E"/>
    <w:rsid w:val="00183514"/>
    <w:rsid w:val="001847F8"/>
    <w:rsid w:val="00190D3A"/>
    <w:rsid w:val="00192C89"/>
    <w:rsid w:val="00192F6F"/>
    <w:rsid w:val="00194DF4"/>
    <w:rsid w:val="00195A0E"/>
    <w:rsid w:val="00196D2F"/>
    <w:rsid w:val="001A21C5"/>
    <w:rsid w:val="001A5093"/>
    <w:rsid w:val="001A7076"/>
    <w:rsid w:val="001B00A6"/>
    <w:rsid w:val="001B3442"/>
    <w:rsid w:val="001B34AB"/>
    <w:rsid w:val="001B4BAA"/>
    <w:rsid w:val="001C1783"/>
    <w:rsid w:val="001C1F33"/>
    <w:rsid w:val="001C2B07"/>
    <w:rsid w:val="001C2F3B"/>
    <w:rsid w:val="001C30CF"/>
    <w:rsid w:val="001C3250"/>
    <w:rsid w:val="001C3BCF"/>
    <w:rsid w:val="001C4C57"/>
    <w:rsid w:val="001C4EC0"/>
    <w:rsid w:val="001C4FE3"/>
    <w:rsid w:val="001C53DA"/>
    <w:rsid w:val="001D03B1"/>
    <w:rsid w:val="001D06E9"/>
    <w:rsid w:val="001D0844"/>
    <w:rsid w:val="001D132C"/>
    <w:rsid w:val="001E08B0"/>
    <w:rsid w:val="001E0CBC"/>
    <w:rsid w:val="001E1388"/>
    <w:rsid w:val="001E17EF"/>
    <w:rsid w:val="001E2A62"/>
    <w:rsid w:val="001E2B05"/>
    <w:rsid w:val="001E5904"/>
    <w:rsid w:val="001E60DB"/>
    <w:rsid w:val="001E7361"/>
    <w:rsid w:val="001E7BED"/>
    <w:rsid w:val="001E7F26"/>
    <w:rsid w:val="001F09F3"/>
    <w:rsid w:val="001F1FF1"/>
    <w:rsid w:val="001F2050"/>
    <w:rsid w:val="001F38CC"/>
    <w:rsid w:val="001F4F63"/>
    <w:rsid w:val="001F59E9"/>
    <w:rsid w:val="001F7655"/>
    <w:rsid w:val="001F79B2"/>
    <w:rsid w:val="00201979"/>
    <w:rsid w:val="002020BB"/>
    <w:rsid w:val="00207395"/>
    <w:rsid w:val="00207CCE"/>
    <w:rsid w:val="002124F6"/>
    <w:rsid w:val="002126AA"/>
    <w:rsid w:val="00212C59"/>
    <w:rsid w:val="00214DF0"/>
    <w:rsid w:val="002151F3"/>
    <w:rsid w:val="002154FB"/>
    <w:rsid w:val="00216AFD"/>
    <w:rsid w:val="0021796F"/>
    <w:rsid w:val="002203E4"/>
    <w:rsid w:val="002211CA"/>
    <w:rsid w:val="002229DC"/>
    <w:rsid w:val="0022358C"/>
    <w:rsid w:val="002238F4"/>
    <w:rsid w:val="00223D7F"/>
    <w:rsid w:val="00224A89"/>
    <w:rsid w:val="00224E2B"/>
    <w:rsid w:val="002252E1"/>
    <w:rsid w:val="00225411"/>
    <w:rsid w:val="00225460"/>
    <w:rsid w:val="00225567"/>
    <w:rsid w:val="0022569E"/>
    <w:rsid w:val="0022641D"/>
    <w:rsid w:val="00227A8E"/>
    <w:rsid w:val="00227E6A"/>
    <w:rsid w:val="0023080B"/>
    <w:rsid w:val="0023101D"/>
    <w:rsid w:val="002318D0"/>
    <w:rsid w:val="00234844"/>
    <w:rsid w:val="00235AE6"/>
    <w:rsid w:val="0023792A"/>
    <w:rsid w:val="002421A8"/>
    <w:rsid w:val="0024375A"/>
    <w:rsid w:val="002465E1"/>
    <w:rsid w:val="00247575"/>
    <w:rsid w:val="00247D95"/>
    <w:rsid w:val="002509B1"/>
    <w:rsid w:val="00251290"/>
    <w:rsid w:val="0025140E"/>
    <w:rsid w:val="00253337"/>
    <w:rsid w:val="00254E65"/>
    <w:rsid w:val="002564D7"/>
    <w:rsid w:val="00257471"/>
    <w:rsid w:val="00260854"/>
    <w:rsid w:val="00263CD2"/>
    <w:rsid w:val="00265500"/>
    <w:rsid w:val="00265CCC"/>
    <w:rsid w:val="00265D5F"/>
    <w:rsid w:val="00273313"/>
    <w:rsid w:val="002740BB"/>
    <w:rsid w:val="002760D6"/>
    <w:rsid w:val="00280F49"/>
    <w:rsid w:val="002813B2"/>
    <w:rsid w:val="00282F85"/>
    <w:rsid w:val="00285B56"/>
    <w:rsid w:val="00287898"/>
    <w:rsid w:val="0029053F"/>
    <w:rsid w:val="00290C96"/>
    <w:rsid w:val="00291669"/>
    <w:rsid w:val="00291F6D"/>
    <w:rsid w:val="002937CE"/>
    <w:rsid w:val="0029611E"/>
    <w:rsid w:val="002A2056"/>
    <w:rsid w:val="002A3A72"/>
    <w:rsid w:val="002A4101"/>
    <w:rsid w:val="002A4D40"/>
    <w:rsid w:val="002B13DB"/>
    <w:rsid w:val="002B22CA"/>
    <w:rsid w:val="002B23E4"/>
    <w:rsid w:val="002B2A5A"/>
    <w:rsid w:val="002B2CF6"/>
    <w:rsid w:val="002B2E09"/>
    <w:rsid w:val="002B35F8"/>
    <w:rsid w:val="002B4B6E"/>
    <w:rsid w:val="002B704B"/>
    <w:rsid w:val="002B7FEC"/>
    <w:rsid w:val="002C0DBC"/>
    <w:rsid w:val="002C254B"/>
    <w:rsid w:val="002C28A0"/>
    <w:rsid w:val="002C3915"/>
    <w:rsid w:val="002C3A98"/>
    <w:rsid w:val="002C3C93"/>
    <w:rsid w:val="002C4AB3"/>
    <w:rsid w:val="002C5C2B"/>
    <w:rsid w:val="002C710B"/>
    <w:rsid w:val="002D0F26"/>
    <w:rsid w:val="002D4B35"/>
    <w:rsid w:val="002D6B3A"/>
    <w:rsid w:val="002D6E1E"/>
    <w:rsid w:val="002D7315"/>
    <w:rsid w:val="002D7458"/>
    <w:rsid w:val="002E19FA"/>
    <w:rsid w:val="002E507C"/>
    <w:rsid w:val="002F2159"/>
    <w:rsid w:val="002F24F4"/>
    <w:rsid w:val="002F321A"/>
    <w:rsid w:val="002F339D"/>
    <w:rsid w:val="002F36F3"/>
    <w:rsid w:val="002F3AA0"/>
    <w:rsid w:val="002F3D5F"/>
    <w:rsid w:val="002F4883"/>
    <w:rsid w:val="002F4FF3"/>
    <w:rsid w:val="002F5348"/>
    <w:rsid w:val="002F5488"/>
    <w:rsid w:val="002F57C7"/>
    <w:rsid w:val="002F6667"/>
    <w:rsid w:val="003014C3"/>
    <w:rsid w:val="0030155D"/>
    <w:rsid w:val="00302EF8"/>
    <w:rsid w:val="00302FE3"/>
    <w:rsid w:val="0030363A"/>
    <w:rsid w:val="00304022"/>
    <w:rsid w:val="00305865"/>
    <w:rsid w:val="00306930"/>
    <w:rsid w:val="003100F0"/>
    <w:rsid w:val="00311A1B"/>
    <w:rsid w:val="003128DF"/>
    <w:rsid w:val="00312CA4"/>
    <w:rsid w:val="0031389F"/>
    <w:rsid w:val="00315639"/>
    <w:rsid w:val="00316047"/>
    <w:rsid w:val="003174B3"/>
    <w:rsid w:val="00320D57"/>
    <w:rsid w:val="00321E5F"/>
    <w:rsid w:val="00321FFE"/>
    <w:rsid w:val="00322673"/>
    <w:rsid w:val="00322AE7"/>
    <w:rsid w:val="00322CC4"/>
    <w:rsid w:val="00324136"/>
    <w:rsid w:val="00324AEA"/>
    <w:rsid w:val="00324C6B"/>
    <w:rsid w:val="003263DC"/>
    <w:rsid w:val="00331D46"/>
    <w:rsid w:val="00331E34"/>
    <w:rsid w:val="0033220F"/>
    <w:rsid w:val="00332436"/>
    <w:rsid w:val="00332E0C"/>
    <w:rsid w:val="00333CFF"/>
    <w:rsid w:val="00335B84"/>
    <w:rsid w:val="00336984"/>
    <w:rsid w:val="00337963"/>
    <w:rsid w:val="003406C2"/>
    <w:rsid w:val="00343379"/>
    <w:rsid w:val="003452AE"/>
    <w:rsid w:val="00345D06"/>
    <w:rsid w:val="00351076"/>
    <w:rsid w:val="003517F1"/>
    <w:rsid w:val="003524D2"/>
    <w:rsid w:val="00353755"/>
    <w:rsid w:val="003541E4"/>
    <w:rsid w:val="00356549"/>
    <w:rsid w:val="0035716B"/>
    <w:rsid w:val="003573E0"/>
    <w:rsid w:val="003604DC"/>
    <w:rsid w:val="003620F6"/>
    <w:rsid w:val="0036299A"/>
    <w:rsid w:val="00362ACA"/>
    <w:rsid w:val="0036371E"/>
    <w:rsid w:val="0036695F"/>
    <w:rsid w:val="00367686"/>
    <w:rsid w:val="00367F56"/>
    <w:rsid w:val="003745DE"/>
    <w:rsid w:val="00374624"/>
    <w:rsid w:val="00376459"/>
    <w:rsid w:val="00376FF8"/>
    <w:rsid w:val="003801BF"/>
    <w:rsid w:val="00381426"/>
    <w:rsid w:val="003827A9"/>
    <w:rsid w:val="00385365"/>
    <w:rsid w:val="003862B1"/>
    <w:rsid w:val="00386C8E"/>
    <w:rsid w:val="00387EA5"/>
    <w:rsid w:val="003918F5"/>
    <w:rsid w:val="00392E3C"/>
    <w:rsid w:val="00393C58"/>
    <w:rsid w:val="00393EB6"/>
    <w:rsid w:val="003940C1"/>
    <w:rsid w:val="003959E6"/>
    <w:rsid w:val="00395B7E"/>
    <w:rsid w:val="003A19D4"/>
    <w:rsid w:val="003A1E3A"/>
    <w:rsid w:val="003A2E1D"/>
    <w:rsid w:val="003A674A"/>
    <w:rsid w:val="003A73B3"/>
    <w:rsid w:val="003B179B"/>
    <w:rsid w:val="003B2293"/>
    <w:rsid w:val="003B25E4"/>
    <w:rsid w:val="003B5D69"/>
    <w:rsid w:val="003B5DC5"/>
    <w:rsid w:val="003B6451"/>
    <w:rsid w:val="003B7224"/>
    <w:rsid w:val="003C0990"/>
    <w:rsid w:val="003C1F46"/>
    <w:rsid w:val="003C3BC3"/>
    <w:rsid w:val="003C59E5"/>
    <w:rsid w:val="003D1BE6"/>
    <w:rsid w:val="003D1D31"/>
    <w:rsid w:val="003D3B4D"/>
    <w:rsid w:val="003D45F0"/>
    <w:rsid w:val="003D4AD2"/>
    <w:rsid w:val="003D56C9"/>
    <w:rsid w:val="003D5C74"/>
    <w:rsid w:val="003D6A1E"/>
    <w:rsid w:val="003E091C"/>
    <w:rsid w:val="003E13F8"/>
    <w:rsid w:val="003E19A2"/>
    <w:rsid w:val="003E390D"/>
    <w:rsid w:val="003E4BF7"/>
    <w:rsid w:val="003E6C2F"/>
    <w:rsid w:val="003E720A"/>
    <w:rsid w:val="003F0095"/>
    <w:rsid w:val="003F0C1E"/>
    <w:rsid w:val="003F0C96"/>
    <w:rsid w:val="003F1051"/>
    <w:rsid w:val="003F1C6B"/>
    <w:rsid w:val="003F2650"/>
    <w:rsid w:val="003F27B2"/>
    <w:rsid w:val="003F30A9"/>
    <w:rsid w:val="003F3AB7"/>
    <w:rsid w:val="003F5039"/>
    <w:rsid w:val="003F50C5"/>
    <w:rsid w:val="003F5E8D"/>
    <w:rsid w:val="003F6226"/>
    <w:rsid w:val="004020F6"/>
    <w:rsid w:val="0040385B"/>
    <w:rsid w:val="004046C5"/>
    <w:rsid w:val="004048B8"/>
    <w:rsid w:val="00406040"/>
    <w:rsid w:val="00406435"/>
    <w:rsid w:val="0040671C"/>
    <w:rsid w:val="004073CA"/>
    <w:rsid w:val="004116B5"/>
    <w:rsid w:val="004121EC"/>
    <w:rsid w:val="00413385"/>
    <w:rsid w:val="004139DD"/>
    <w:rsid w:val="00413C03"/>
    <w:rsid w:val="00413D01"/>
    <w:rsid w:val="00415C0A"/>
    <w:rsid w:val="004167C0"/>
    <w:rsid w:val="00420019"/>
    <w:rsid w:val="004205F2"/>
    <w:rsid w:val="0042104B"/>
    <w:rsid w:val="004221B6"/>
    <w:rsid w:val="00425430"/>
    <w:rsid w:val="00425B57"/>
    <w:rsid w:val="00427200"/>
    <w:rsid w:val="0042765F"/>
    <w:rsid w:val="0043063B"/>
    <w:rsid w:val="00430845"/>
    <w:rsid w:val="00432274"/>
    <w:rsid w:val="0044277E"/>
    <w:rsid w:val="0044285E"/>
    <w:rsid w:val="0044385A"/>
    <w:rsid w:val="00444397"/>
    <w:rsid w:val="00452B8F"/>
    <w:rsid w:val="00455475"/>
    <w:rsid w:val="0045555D"/>
    <w:rsid w:val="0045794B"/>
    <w:rsid w:val="00457FD5"/>
    <w:rsid w:val="00460FF4"/>
    <w:rsid w:val="004615CE"/>
    <w:rsid w:val="004637CD"/>
    <w:rsid w:val="004638A9"/>
    <w:rsid w:val="0046555C"/>
    <w:rsid w:val="0046777F"/>
    <w:rsid w:val="00471EB2"/>
    <w:rsid w:val="00472361"/>
    <w:rsid w:val="004726DC"/>
    <w:rsid w:val="00473198"/>
    <w:rsid w:val="00474A66"/>
    <w:rsid w:val="004767BE"/>
    <w:rsid w:val="00477539"/>
    <w:rsid w:val="004809FE"/>
    <w:rsid w:val="00481158"/>
    <w:rsid w:val="004817E5"/>
    <w:rsid w:val="00485248"/>
    <w:rsid w:val="004856F0"/>
    <w:rsid w:val="00486785"/>
    <w:rsid w:val="00490745"/>
    <w:rsid w:val="00490D5E"/>
    <w:rsid w:val="004934B9"/>
    <w:rsid w:val="0049420E"/>
    <w:rsid w:val="004943B2"/>
    <w:rsid w:val="0049626E"/>
    <w:rsid w:val="004A0A74"/>
    <w:rsid w:val="004A0F0F"/>
    <w:rsid w:val="004A0F53"/>
    <w:rsid w:val="004A4039"/>
    <w:rsid w:val="004A497F"/>
    <w:rsid w:val="004A628A"/>
    <w:rsid w:val="004A6BBE"/>
    <w:rsid w:val="004A746F"/>
    <w:rsid w:val="004A7DFA"/>
    <w:rsid w:val="004B0E72"/>
    <w:rsid w:val="004B1172"/>
    <w:rsid w:val="004B26AC"/>
    <w:rsid w:val="004B2AF7"/>
    <w:rsid w:val="004B2E71"/>
    <w:rsid w:val="004B366B"/>
    <w:rsid w:val="004B3705"/>
    <w:rsid w:val="004B3B7D"/>
    <w:rsid w:val="004B4454"/>
    <w:rsid w:val="004B45C8"/>
    <w:rsid w:val="004B6465"/>
    <w:rsid w:val="004B6F08"/>
    <w:rsid w:val="004B6FE9"/>
    <w:rsid w:val="004C1941"/>
    <w:rsid w:val="004C28EB"/>
    <w:rsid w:val="004C518A"/>
    <w:rsid w:val="004D27FF"/>
    <w:rsid w:val="004D318E"/>
    <w:rsid w:val="004D3825"/>
    <w:rsid w:val="004D3D40"/>
    <w:rsid w:val="004D4EF6"/>
    <w:rsid w:val="004D51BF"/>
    <w:rsid w:val="004E0E0C"/>
    <w:rsid w:val="004E1412"/>
    <w:rsid w:val="004E166B"/>
    <w:rsid w:val="004E2030"/>
    <w:rsid w:val="004E2C68"/>
    <w:rsid w:val="004E37C0"/>
    <w:rsid w:val="004E781E"/>
    <w:rsid w:val="004E7BE7"/>
    <w:rsid w:val="004E7C41"/>
    <w:rsid w:val="004E7D03"/>
    <w:rsid w:val="004F03DF"/>
    <w:rsid w:val="004F0AB4"/>
    <w:rsid w:val="004F2456"/>
    <w:rsid w:val="004F2B73"/>
    <w:rsid w:val="004F3617"/>
    <w:rsid w:val="004F3918"/>
    <w:rsid w:val="004F42B3"/>
    <w:rsid w:val="004F4FA3"/>
    <w:rsid w:val="004F517A"/>
    <w:rsid w:val="004F53CC"/>
    <w:rsid w:val="004F5956"/>
    <w:rsid w:val="004F6B07"/>
    <w:rsid w:val="004F7E32"/>
    <w:rsid w:val="005008D7"/>
    <w:rsid w:val="00500A3E"/>
    <w:rsid w:val="00501307"/>
    <w:rsid w:val="005015B4"/>
    <w:rsid w:val="00502231"/>
    <w:rsid w:val="00504457"/>
    <w:rsid w:val="00504B82"/>
    <w:rsid w:val="00504CAF"/>
    <w:rsid w:val="005055A4"/>
    <w:rsid w:val="00511E03"/>
    <w:rsid w:val="00513270"/>
    <w:rsid w:val="00514A96"/>
    <w:rsid w:val="00514E51"/>
    <w:rsid w:val="00520E07"/>
    <w:rsid w:val="005219C8"/>
    <w:rsid w:val="005236F5"/>
    <w:rsid w:val="00523B92"/>
    <w:rsid w:val="00527130"/>
    <w:rsid w:val="00530470"/>
    <w:rsid w:val="00530A53"/>
    <w:rsid w:val="00532891"/>
    <w:rsid w:val="00533E24"/>
    <w:rsid w:val="0053434C"/>
    <w:rsid w:val="00534453"/>
    <w:rsid w:val="005344C4"/>
    <w:rsid w:val="00534997"/>
    <w:rsid w:val="00534CCE"/>
    <w:rsid w:val="005350A7"/>
    <w:rsid w:val="00535E4B"/>
    <w:rsid w:val="005370BD"/>
    <w:rsid w:val="005375EF"/>
    <w:rsid w:val="00540A1A"/>
    <w:rsid w:val="00542DEC"/>
    <w:rsid w:val="00544EEF"/>
    <w:rsid w:val="005467DC"/>
    <w:rsid w:val="00546AAC"/>
    <w:rsid w:val="0054768F"/>
    <w:rsid w:val="005477A3"/>
    <w:rsid w:val="0055082A"/>
    <w:rsid w:val="005517D0"/>
    <w:rsid w:val="0055182C"/>
    <w:rsid w:val="00552E1B"/>
    <w:rsid w:val="00554A22"/>
    <w:rsid w:val="005556FB"/>
    <w:rsid w:val="00556E71"/>
    <w:rsid w:val="0055715D"/>
    <w:rsid w:val="00560B52"/>
    <w:rsid w:val="00560BB7"/>
    <w:rsid w:val="00560F28"/>
    <w:rsid w:val="0056100F"/>
    <w:rsid w:val="005615A7"/>
    <w:rsid w:val="00561794"/>
    <w:rsid w:val="0056410F"/>
    <w:rsid w:val="00564A8A"/>
    <w:rsid w:val="005654FC"/>
    <w:rsid w:val="00565ED8"/>
    <w:rsid w:val="00566D66"/>
    <w:rsid w:val="00571487"/>
    <w:rsid w:val="00571F8F"/>
    <w:rsid w:val="00572313"/>
    <w:rsid w:val="00572AA3"/>
    <w:rsid w:val="00573BD9"/>
    <w:rsid w:val="00573C87"/>
    <w:rsid w:val="00573F69"/>
    <w:rsid w:val="005745C6"/>
    <w:rsid w:val="00574F3E"/>
    <w:rsid w:val="00575D6F"/>
    <w:rsid w:val="005765B8"/>
    <w:rsid w:val="005775A0"/>
    <w:rsid w:val="00580164"/>
    <w:rsid w:val="00581DCE"/>
    <w:rsid w:val="00583B1F"/>
    <w:rsid w:val="005841F8"/>
    <w:rsid w:val="00587EF7"/>
    <w:rsid w:val="005927E9"/>
    <w:rsid w:val="00594290"/>
    <w:rsid w:val="00595347"/>
    <w:rsid w:val="00595D38"/>
    <w:rsid w:val="005979ED"/>
    <w:rsid w:val="00597A86"/>
    <w:rsid w:val="005A10C4"/>
    <w:rsid w:val="005A34EE"/>
    <w:rsid w:val="005A366D"/>
    <w:rsid w:val="005A36A0"/>
    <w:rsid w:val="005A3B15"/>
    <w:rsid w:val="005A492E"/>
    <w:rsid w:val="005A4BD4"/>
    <w:rsid w:val="005A78E5"/>
    <w:rsid w:val="005B2C91"/>
    <w:rsid w:val="005B4041"/>
    <w:rsid w:val="005B6FC7"/>
    <w:rsid w:val="005C19B4"/>
    <w:rsid w:val="005C2F42"/>
    <w:rsid w:val="005C3D3A"/>
    <w:rsid w:val="005C45CC"/>
    <w:rsid w:val="005C50C0"/>
    <w:rsid w:val="005D0BD9"/>
    <w:rsid w:val="005D1CAD"/>
    <w:rsid w:val="005D2085"/>
    <w:rsid w:val="005D2503"/>
    <w:rsid w:val="005D290C"/>
    <w:rsid w:val="005D3375"/>
    <w:rsid w:val="005D3508"/>
    <w:rsid w:val="005D3EA8"/>
    <w:rsid w:val="005D4FF8"/>
    <w:rsid w:val="005D7666"/>
    <w:rsid w:val="005D7AB2"/>
    <w:rsid w:val="005E0F12"/>
    <w:rsid w:val="005E14B8"/>
    <w:rsid w:val="005E1BB4"/>
    <w:rsid w:val="005E1F1B"/>
    <w:rsid w:val="005E1FB9"/>
    <w:rsid w:val="005E33DC"/>
    <w:rsid w:val="005E440A"/>
    <w:rsid w:val="005E6BE4"/>
    <w:rsid w:val="005E6F25"/>
    <w:rsid w:val="005E6FE1"/>
    <w:rsid w:val="005F0AB2"/>
    <w:rsid w:val="005F1CAC"/>
    <w:rsid w:val="005F23C6"/>
    <w:rsid w:val="005F2C77"/>
    <w:rsid w:val="005F659F"/>
    <w:rsid w:val="005F7334"/>
    <w:rsid w:val="005F7FF8"/>
    <w:rsid w:val="00600F25"/>
    <w:rsid w:val="00600F62"/>
    <w:rsid w:val="00601518"/>
    <w:rsid w:val="00601F8E"/>
    <w:rsid w:val="006033F6"/>
    <w:rsid w:val="006039C5"/>
    <w:rsid w:val="00605530"/>
    <w:rsid w:val="00605715"/>
    <w:rsid w:val="00605792"/>
    <w:rsid w:val="006062CD"/>
    <w:rsid w:val="00607743"/>
    <w:rsid w:val="006103B2"/>
    <w:rsid w:val="006106AB"/>
    <w:rsid w:val="0061434B"/>
    <w:rsid w:val="00615820"/>
    <w:rsid w:val="00615AD3"/>
    <w:rsid w:val="00616693"/>
    <w:rsid w:val="0061669D"/>
    <w:rsid w:val="00617A81"/>
    <w:rsid w:val="006219D3"/>
    <w:rsid w:val="006219EA"/>
    <w:rsid w:val="0062661B"/>
    <w:rsid w:val="00627D6F"/>
    <w:rsid w:val="00631226"/>
    <w:rsid w:val="006315C3"/>
    <w:rsid w:val="0063208E"/>
    <w:rsid w:val="006326BE"/>
    <w:rsid w:val="0063297A"/>
    <w:rsid w:val="00632BAF"/>
    <w:rsid w:val="00634A18"/>
    <w:rsid w:val="0063584C"/>
    <w:rsid w:val="0063668D"/>
    <w:rsid w:val="0063680F"/>
    <w:rsid w:val="00637A7F"/>
    <w:rsid w:val="00637E92"/>
    <w:rsid w:val="00640BD3"/>
    <w:rsid w:val="0064204D"/>
    <w:rsid w:val="006425D9"/>
    <w:rsid w:val="00642CD3"/>
    <w:rsid w:val="00643B33"/>
    <w:rsid w:val="00644A1F"/>
    <w:rsid w:val="00645D4B"/>
    <w:rsid w:val="00646957"/>
    <w:rsid w:val="0064758C"/>
    <w:rsid w:val="00651049"/>
    <w:rsid w:val="00651B58"/>
    <w:rsid w:val="00651C14"/>
    <w:rsid w:val="00654C58"/>
    <w:rsid w:val="006551EE"/>
    <w:rsid w:val="006577F2"/>
    <w:rsid w:val="00662622"/>
    <w:rsid w:val="00664C41"/>
    <w:rsid w:val="0066550D"/>
    <w:rsid w:val="006668B8"/>
    <w:rsid w:val="00670500"/>
    <w:rsid w:val="00671002"/>
    <w:rsid w:val="00672125"/>
    <w:rsid w:val="006729D0"/>
    <w:rsid w:val="00673256"/>
    <w:rsid w:val="00673BE9"/>
    <w:rsid w:val="0067450A"/>
    <w:rsid w:val="0067488B"/>
    <w:rsid w:val="0067511F"/>
    <w:rsid w:val="0067768B"/>
    <w:rsid w:val="00677B3A"/>
    <w:rsid w:val="006802FE"/>
    <w:rsid w:val="00680424"/>
    <w:rsid w:val="00680B6B"/>
    <w:rsid w:val="0068165A"/>
    <w:rsid w:val="00685A9C"/>
    <w:rsid w:val="00685DAC"/>
    <w:rsid w:val="0068745A"/>
    <w:rsid w:val="00687CA8"/>
    <w:rsid w:val="006920D6"/>
    <w:rsid w:val="006949D9"/>
    <w:rsid w:val="00694D90"/>
    <w:rsid w:val="00694FFC"/>
    <w:rsid w:val="00696967"/>
    <w:rsid w:val="00697FAF"/>
    <w:rsid w:val="006A0600"/>
    <w:rsid w:val="006A0F1A"/>
    <w:rsid w:val="006A1324"/>
    <w:rsid w:val="006A1D2E"/>
    <w:rsid w:val="006A25F3"/>
    <w:rsid w:val="006A56DE"/>
    <w:rsid w:val="006A5A93"/>
    <w:rsid w:val="006A6448"/>
    <w:rsid w:val="006A67B9"/>
    <w:rsid w:val="006A746C"/>
    <w:rsid w:val="006B0F24"/>
    <w:rsid w:val="006B2471"/>
    <w:rsid w:val="006B3827"/>
    <w:rsid w:val="006B425D"/>
    <w:rsid w:val="006B44C4"/>
    <w:rsid w:val="006B4530"/>
    <w:rsid w:val="006B4864"/>
    <w:rsid w:val="006B49D8"/>
    <w:rsid w:val="006B5534"/>
    <w:rsid w:val="006B5712"/>
    <w:rsid w:val="006B6039"/>
    <w:rsid w:val="006C4A0A"/>
    <w:rsid w:val="006C5868"/>
    <w:rsid w:val="006C706F"/>
    <w:rsid w:val="006C78BC"/>
    <w:rsid w:val="006D0BA5"/>
    <w:rsid w:val="006D12FD"/>
    <w:rsid w:val="006D34A6"/>
    <w:rsid w:val="006D3546"/>
    <w:rsid w:val="006D37EE"/>
    <w:rsid w:val="006D3CC4"/>
    <w:rsid w:val="006D4D22"/>
    <w:rsid w:val="006D6191"/>
    <w:rsid w:val="006E01E5"/>
    <w:rsid w:val="006E0CC7"/>
    <w:rsid w:val="006E148F"/>
    <w:rsid w:val="006E14D0"/>
    <w:rsid w:val="006E1D45"/>
    <w:rsid w:val="006E3FB2"/>
    <w:rsid w:val="006E5E1E"/>
    <w:rsid w:val="006E6D3F"/>
    <w:rsid w:val="006F1D49"/>
    <w:rsid w:val="006F284E"/>
    <w:rsid w:val="006F4284"/>
    <w:rsid w:val="006F4366"/>
    <w:rsid w:val="006F4998"/>
    <w:rsid w:val="00700569"/>
    <w:rsid w:val="0070266A"/>
    <w:rsid w:val="00704ED4"/>
    <w:rsid w:val="00706CCC"/>
    <w:rsid w:val="007110B7"/>
    <w:rsid w:val="00711808"/>
    <w:rsid w:val="007124BB"/>
    <w:rsid w:val="00712BE1"/>
    <w:rsid w:val="007146EB"/>
    <w:rsid w:val="00720DBE"/>
    <w:rsid w:val="00721E6B"/>
    <w:rsid w:val="00722104"/>
    <w:rsid w:val="007229B6"/>
    <w:rsid w:val="00723269"/>
    <w:rsid w:val="00723605"/>
    <w:rsid w:val="00724AAB"/>
    <w:rsid w:val="00727DE0"/>
    <w:rsid w:val="00740984"/>
    <w:rsid w:val="00741ED3"/>
    <w:rsid w:val="00742E12"/>
    <w:rsid w:val="00743568"/>
    <w:rsid w:val="007446BE"/>
    <w:rsid w:val="007450E9"/>
    <w:rsid w:val="00746947"/>
    <w:rsid w:val="00746B84"/>
    <w:rsid w:val="00750E8B"/>
    <w:rsid w:val="00751706"/>
    <w:rsid w:val="00751975"/>
    <w:rsid w:val="00751E68"/>
    <w:rsid w:val="007527F5"/>
    <w:rsid w:val="00752B42"/>
    <w:rsid w:val="00753D3D"/>
    <w:rsid w:val="007553B4"/>
    <w:rsid w:val="00755DFA"/>
    <w:rsid w:val="007564EA"/>
    <w:rsid w:val="007574ED"/>
    <w:rsid w:val="00761A88"/>
    <w:rsid w:val="00763030"/>
    <w:rsid w:val="00763277"/>
    <w:rsid w:val="00767965"/>
    <w:rsid w:val="007729B2"/>
    <w:rsid w:val="0077334C"/>
    <w:rsid w:val="00773FB0"/>
    <w:rsid w:val="00775B32"/>
    <w:rsid w:val="00777318"/>
    <w:rsid w:val="00777664"/>
    <w:rsid w:val="007813B4"/>
    <w:rsid w:val="007834A6"/>
    <w:rsid w:val="007843AC"/>
    <w:rsid w:val="007844DE"/>
    <w:rsid w:val="007923A6"/>
    <w:rsid w:val="0079349C"/>
    <w:rsid w:val="0079437B"/>
    <w:rsid w:val="00795968"/>
    <w:rsid w:val="0079734E"/>
    <w:rsid w:val="007A1022"/>
    <w:rsid w:val="007A2D5A"/>
    <w:rsid w:val="007A3194"/>
    <w:rsid w:val="007A3FBD"/>
    <w:rsid w:val="007A749D"/>
    <w:rsid w:val="007A79C1"/>
    <w:rsid w:val="007B00F3"/>
    <w:rsid w:val="007B0518"/>
    <w:rsid w:val="007B071A"/>
    <w:rsid w:val="007B2630"/>
    <w:rsid w:val="007B5931"/>
    <w:rsid w:val="007B6FE5"/>
    <w:rsid w:val="007B70DC"/>
    <w:rsid w:val="007B7563"/>
    <w:rsid w:val="007C0A99"/>
    <w:rsid w:val="007C1237"/>
    <w:rsid w:val="007C1421"/>
    <w:rsid w:val="007C2C50"/>
    <w:rsid w:val="007C33F0"/>
    <w:rsid w:val="007C4703"/>
    <w:rsid w:val="007C4E1D"/>
    <w:rsid w:val="007C68D5"/>
    <w:rsid w:val="007C69FD"/>
    <w:rsid w:val="007C74AE"/>
    <w:rsid w:val="007C7906"/>
    <w:rsid w:val="007D00C7"/>
    <w:rsid w:val="007D157E"/>
    <w:rsid w:val="007D4016"/>
    <w:rsid w:val="007D4372"/>
    <w:rsid w:val="007D6D93"/>
    <w:rsid w:val="007D6E40"/>
    <w:rsid w:val="007E0880"/>
    <w:rsid w:val="007E24FA"/>
    <w:rsid w:val="007E2744"/>
    <w:rsid w:val="007E3756"/>
    <w:rsid w:val="007E3A25"/>
    <w:rsid w:val="007E42C3"/>
    <w:rsid w:val="007E45CB"/>
    <w:rsid w:val="007E5BB8"/>
    <w:rsid w:val="007E7BCC"/>
    <w:rsid w:val="007F01A8"/>
    <w:rsid w:val="007F089D"/>
    <w:rsid w:val="007F0B13"/>
    <w:rsid w:val="007F0C80"/>
    <w:rsid w:val="007F12B0"/>
    <w:rsid w:val="007F1F60"/>
    <w:rsid w:val="007F3478"/>
    <w:rsid w:val="007F3DE4"/>
    <w:rsid w:val="007F48F5"/>
    <w:rsid w:val="007F6171"/>
    <w:rsid w:val="007F717D"/>
    <w:rsid w:val="0080027E"/>
    <w:rsid w:val="00801BB2"/>
    <w:rsid w:val="00802C88"/>
    <w:rsid w:val="00802DD1"/>
    <w:rsid w:val="0080401D"/>
    <w:rsid w:val="00806DA6"/>
    <w:rsid w:val="008072F0"/>
    <w:rsid w:val="0081105A"/>
    <w:rsid w:val="0081128B"/>
    <w:rsid w:val="00811CA1"/>
    <w:rsid w:val="0081267E"/>
    <w:rsid w:val="00813832"/>
    <w:rsid w:val="00813AF7"/>
    <w:rsid w:val="00814C00"/>
    <w:rsid w:val="00815144"/>
    <w:rsid w:val="00815286"/>
    <w:rsid w:val="00815742"/>
    <w:rsid w:val="008162BE"/>
    <w:rsid w:val="00816567"/>
    <w:rsid w:val="00816AF6"/>
    <w:rsid w:val="00817367"/>
    <w:rsid w:val="00817889"/>
    <w:rsid w:val="00820BEB"/>
    <w:rsid w:val="00821945"/>
    <w:rsid w:val="0082286F"/>
    <w:rsid w:val="0082294F"/>
    <w:rsid w:val="00822F8C"/>
    <w:rsid w:val="00823DB0"/>
    <w:rsid w:val="008242CC"/>
    <w:rsid w:val="008254F7"/>
    <w:rsid w:val="0082564D"/>
    <w:rsid w:val="00827BD4"/>
    <w:rsid w:val="0083027E"/>
    <w:rsid w:val="00832B38"/>
    <w:rsid w:val="00833730"/>
    <w:rsid w:val="0083463C"/>
    <w:rsid w:val="0083649E"/>
    <w:rsid w:val="00836C14"/>
    <w:rsid w:val="00836F50"/>
    <w:rsid w:val="00837166"/>
    <w:rsid w:val="008403DA"/>
    <w:rsid w:val="0084054F"/>
    <w:rsid w:val="0084292A"/>
    <w:rsid w:val="008441D8"/>
    <w:rsid w:val="008511AC"/>
    <w:rsid w:val="00851E5E"/>
    <w:rsid w:val="008527A9"/>
    <w:rsid w:val="00854CB5"/>
    <w:rsid w:val="00856938"/>
    <w:rsid w:val="008613EB"/>
    <w:rsid w:val="0086343D"/>
    <w:rsid w:val="00863B91"/>
    <w:rsid w:val="00863C8D"/>
    <w:rsid w:val="008643FF"/>
    <w:rsid w:val="00867390"/>
    <w:rsid w:val="008712F1"/>
    <w:rsid w:val="00871DF1"/>
    <w:rsid w:val="0087573B"/>
    <w:rsid w:val="00875A23"/>
    <w:rsid w:val="00880289"/>
    <w:rsid w:val="0088094D"/>
    <w:rsid w:val="00883D79"/>
    <w:rsid w:val="00884930"/>
    <w:rsid w:val="008873FE"/>
    <w:rsid w:val="008878A4"/>
    <w:rsid w:val="008878CD"/>
    <w:rsid w:val="008906BB"/>
    <w:rsid w:val="00890E70"/>
    <w:rsid w:val="008925DC"/>
    <w:rsid w:val="0089388E"/>
    <w:rsid w:val="00895A31"/>
    <w:rsid w:val="00895EEA"/>
    <w:rsid w:val="0089607E"/>
    <w:rsid w:val="00897FE4"/>
    <w:rsid w:val="008A00B9"/>
    <w:rsid w:val="008A309B"/>
    <w:rsid w:val="008A716E"/>
    <w:rsid w:val="008A7C7B"/>
    <w:rsid w:val="008B1712"/>
    <w:rsid w:val="008B1AE4"/>
    <w:rsid w:val="008B1BBF"/>
    <w:rsid w:val="008B29F6"/>
    <w:rsid w:val="008B410A"/>
    <w:rsid w:val="008B4D30"/>
    <w:rsid w:val="008B4F90"/>
    <w:rsid w:val="008B5ED6"/>
    <w:rsid w:val="008B62EC"/>
    <w:rsid w:val="008C0C49"/>
    <w:rsid w:val="008C37FA"/>
    <w:rsid w:val="008C59B8"/>
    <w:rsid w:val="008D3ACB"/>
    <w:rsid w:val="008D4E2B"/>
    <w:rsid w:val="008D56D9"/>
    <w:rsid w:val="008D5C3A"/>
    <w:rsid w:val="008D632C"/>
    <w:rsid w:val="008D75C9"/>
    <w:rsid w:val="008E10B4"/>
    <w:rsid w:val="008E21A2"/>
    <w:rsid w:val="008E495B"/>
    <w:rsid w:val="008E49FB"/>
    <w:rsid w:val="008E4BF6"/>
    <w:rsid w:val="008E565D"/>
    <w:rsid w:val="008E5F1D"/>
    <w:rsid w:val="008E6202"/>
    <w:rsid w:val="008E6279"/>
    <w:rsid w:val="008E64AA"/>
    <w:rsid w:val="008E744C"/>
    <w:rsid w:val="008E7703"/>
    <w:rsid w:val="008F019B"/>
    <w:rsid w:val="008F0331"/>
    <w:rsid w:val="009006C2"/>
    <w:rsid w:val="009018BB"/>
    <w:rsid w:val="0090316F"/>
    <w:rsid w:val="00904384"/>
    <w:rsid w:val="009044DB"/>
    <w:rsid w:val="0091033C"/>
    <w:rsid w:val="009104D9"/>
    <w:rsid w:val="00910BD7"/>
    <w:rsid w:val="009110FE"/>
    <w:rsid w:val="00911254"/>
    <w:rsid w:val="0091163F"/>
    <w:rsid w:val="00912EB6"/>
    <w:rsid w:val="009135AA"/>
    <w:rsid w:val="009137CF"/>
    <w:rsid w:val="0091380D"/>
    <w:rsid w:val="00917059"/>
    <w:rsid w:val="00920148"/>
    <w:rsid w:val="009208B2"/>
    <w:rsid w:val="00921E0D"/>
    <w:rsid w:val="00922762"/>
    <w:rsid w:val="00922F74"/>
    <w:rsid w:val="00925B38"/>
    <w:rsid w:val="00926B96"/>
    <w:rsid w:val="0092759F"/>
    <w:rsid w:val="009279CA"/>
    <w:rsid w:val="00927CE6"/>
    <w:rsid w:val="0093214C"/>
    <w:rsid w:val="00932BAC"/>
    <w:rsid w:val="00933066"/>
    <w:rsid w:val="00933EA9"/>
    <w:rsid w:val="0093435B"/>
    <w:rsid w:val="00936B91"/>
    <w:rsid w:val="00936E8E"/>
    <w:rsid w:val="00936F06"/>
    <w:rsid w:val="0094022A"/>
    <w:rsid w:val="009412BF"/>
    <w:rsid w:val="00941763"/>
    <w:rsid w:val="00941C79"/>
    <w:rsid w:val="00942091"/>
    <w:rsid w:val="00942206"/>
    <w:rsid w:val="0094226E"/>
    <w:rsid w:val="00942C14"/>
    <w:rsid w:val="00942E50"/>
    <w:rsid w:val="00943381"/>
    <w:rsid w:val="00943F78"/>
    <w:rsid w:val="0094402F"/>
    <w:rsid w:val="009441E8"/>
    <w:rsid w:val="00944A62"/>
    <w:rsid w:val="00944FE2"/>
    <w:rsid w:val="0094632D"/>
    <w:rsid w:val="00947684"/>
    <w:rsid w:val="00950136"/>
    <w:rsid w:val="00953B52"/>
    <w:rsid w:val="00953C90"/>
    <w:rsid w:val="00953CAF"/>
    <w:rsid w:val="00954D2E"/>
    <w:rsid w:val="0095510F"/>
    <w:rsid w:val="00955485"/>
    <w:rsid w:val="009558C1"/>
    <w:rsid w:val="009564E4"/>
    <w:rsid w:val="00956BAE"/>
    <w:rsid w:val="00961B77"/>
    <w:rsid w:val="00961ED5"/>
    <w:rsid w:val="00962B5F"/>
    <w:rsid w:val="009639C1"/>
    <w:rsid w:val="00963A85"/>
    <w:rsid w:val="00965E3B"/>
    <w:rsid w:val="00966AD9"/>
    <w:rsid w:val="00967D8E"/>
    <w:rsid w:val="00971298"/>
    <w:rsid w:val="00973DE9"/>
    <w:rsid w:val="00974968"/>
    <w:rsid w:val="00976C40"/>
    <w:rsid w:val="00977769"/>
    <w:rsid w:val="009813F1"/>
    <w:rsid w:val="009822AB"/>
    <w:rsid w:val="00982EED"/>
    <w:rsid w:val="009859F1"/>
    <w:rsid w:val="00985A19"/>
    <w:rsid w:val="00987708"/>
    <w:rsid w:val="009904F2"/>
    <w:rsid w:val="00992A6F"/>
    <w:rsid w:val="009931C0"/>
    <w:rsid w:val="009954FE"/>
    <w:rsid w:val="00996039"/>
    <w:rsid w:val="009973D2"/>
    <w:rsid w:val="009A099A"/>
    <w:rsid w:val="009A0EBD"/>
    <w:rsid w:val="009A0FE9"/>
    <w:rsid w:val="009A124F"/>
    <w:rsid w:val="009A5A8A"/>
    <w:rsid w:val="009A5B16"/>
    <w:rsid w:val="009A761F"/>
    <w:rsid w:val="009B3B4A"/>
    <w:rsid w:val="009B4405"/>
    <w:rsid w:val="009B4606"/>
    <w:rsid w:val="009B6300"/>
    <w:rsid w:val="009B631D"/>
    <w:rsid w:val="009B7FE1"/>
    <w:rsid w:val="009C01B5"/>
    <w:rsid w:val="009C1073"/>
    <w:rsid w:val="009C1E13"/>
    <w:rsid w:val="009C28AB"/>
    <w:rsid w:val="009C4B40"/>
    <w:rsid w:val="009C4FE0"/>
    <w:rsid w:val="009C58EC"/>
    <w:rsid w:val="009C5A48"/>
    <w:rsid w:val="009C5C1B"/>
    <w:rsid w:val="009D16FC"/>
    <w:rsid w:val="009D1E1E"/>
    <w:rsid w:val="009D2092"/>
    <w:rsid w:val="009D2D2C"/>
    <w:rsid w:val="009D40AE"/>
    <w:rsid w:val="009D4AD1"/>
    <w:rsid w:val="009D4E06"/>
    <w:rsid w:val="009D61C7"/>
    <w:rsid w:val="009D683F"/>
    <w:rsid w:val="009E2092"/>
    <w:rsid w:val="009E2BB9"/>
    <w:rsid w:val="009E4E01"/>
    <w:rsid w:val="009F0AAD"/>
    <w:rsid w:val="009F0D89"/>
    <w:rsid w:val="009F0E0A"/>
    <w:rsid w:val="009F1360"/>
    <w:rsid w:val="009F2CAB"/>
    <w:rsid w:val="009F3158"/>
    <w:rsid w:val="009F4E4B"/>
    <w:rsid w:val="009F5F8F"/>
    <w:rsid w:val="009F6E6B"/>
    <w:rsid w:val="009F786E"/>
    <w:rsid w:val="009F7AE0"/>
    <w:rsid w:val="00A05427"/>
    <w:rsid w:val="00A0588E"/>
    <w:rsid w:val="00A06FEA"/>
    <w:rsid w:val="00A07EB9"/>
    <w:rsid w:val="00A100DA"/>
    <w:rsid w:val="00A113D5"/>
    <w:rsid w:val="00A140EE"/>
    <w:rsid w:val="00A141D0"/>
    <w:rsid w:val="00A14C31"/>
    <w:rsid w:val="00A14CC8"/>
    <w:rsid w:val="00A1518C"/>
    <w:rsid w:val="00A206A3"/>
    <w:rsid w:val="00A21C54"/>
    <w:rsid w:val="00A22067"/>
    <w:rsid w:val="00A2407E"/>
    <w:rsid w:val="00A24BEA"/>
    <w:rsid w:val="00A2666E"/>
    <w:rsid w:val="00A270D3"/>
    <w:rsid w:val="00A27CC0"/>
    <w:rsid w:val="00A31AD4"/>
    <w:rsid w:val="00A31FEA"/>
    <w:rsid w:val="00A34C7C"/>
    <w:rsid w:val="00A34ECF"/>
    <w:rsid w:val="00A3627B"/>
    <w:rsid w:val="00A3798E"/>
    <w:rsid w:val="00A37D14"/>
    <w:rsid w:val="00A37DE1"/>
    <w:rsid w:val="00A40B37"/>
    <w:rsid w:val="00A40B87"/>
    <w:rsid w:val="00A40BE9"/>
    <w:rsid w:val="00A40EC7"/>
    <w:rsid w:val="00A4223C"/>
    <w:rsid w:val="00A434F0"/>
    <w:rsid w:val="00A437CB"/>
    <w:rsid w:val="00A44452"/>
    <w:rsid w:val="00A46432"/>
    <w:rsid w:val="00A478E9"/>
    <w:rsid w:val="00A50BD6"/>
    <w:rsid w:val="00A51BE5"/>
    <w:rsid w:val="00A52010"/>
    <w:rsid w:val="00A526D5"/>
    <w:rsid w:val="00A526DA"/>
    <w:rsid w:val="00A5307B"/>
    <w:rsid w:val="00A5462F"/>
    <w:rsid w:val="00A56FAD"/>
    <w:rsid w:val="00A57DBA"/>
    <w:rsid w:val="00A60277"/>
    <w:rsid w:val="00A60666"/>
    <w:rsid w:val="00A6151A"/>
    <w:rsid w:val="00A63726"/>
    <w:rsid w:val="00A67E9F"/>
    <w:rsid w:val="00A70688"/>
    <w:rsid w:val="00A70CEA"/>
    <w:rsid w:val="00A728EB"/>
    <w:rsid w:val="00A732C7"/>
    <w:rsid w:val="00A73CAA"/>
    <w:rsid w:val="00A74083"/>
    <w:rsid w:val="00A77269"/>
    <w:rsid w:val="00A77494"/>
    <w:rsid w:val="00A77598"/>
    <w:rsid w:val="00A80089"/>
    <w:rsid w:val="00A812CA"/>
    <w:rsid w:val="00A82325"/>
    <w:rsid w:val="00A83197"/>
    <w:rsid w:val="00A83B50"/>
    <w:rsid w:val="00A83C6E"/>
    <w:rsid w:val="00A844B7"/>
    <w:rsid w:val="00A85A33"/>
    <w:rsid w:val="00A8613F"/>
    <w:rsid w:val="00A90549"/>
    <w:rsid w:val="00A93BBB"/>
    <w:rsid w:val="00A945B3"/>
    <w:rsid w:val="00A95346"/>
    <w:rsid w:val="00A9645E"/>
    <w:rsid w:val="00AA605E"/>
    <w:rsid w:val="00AA63BD"/>
    <w:rsid w:val="00AA67B9"/>
    <w:rsid w:val="00AA7733"/>
    <w:rsid w:val="00AA78DD"/>
    <w:rsid w:val="00AA7C57"/>
    <w:rsid w:val="00AB1390"/>
    <w:rsid w:val="00AB1832"/>
    <w:rsid w:val="00AB28FB"/>
    <w:rsid w:val="00AB4BEB"/>
    <w:rsid w:val="00AB713F"/>
    <w:rsid w:val="00AB7CD4"/>
    <w:rsid w:val="00AC43A6"/>
    <w:rsid w:val="00AC46BB"/>
    <w:rsid w:val="00AC571F"/>
    <w:rsid w:val="00AC58D8"/>
    <w:rsid w:val="00AC62EC"/>
    <w:rsid w:val="00AC6563"/>
    <w:rsid w:val="00AD0D11"/>
    <w:rsid w:val="00AD2636"/>
    <w:rsid w:val="00AD280E"/>
    <w:rsid w:val="00AD2C8A"/>
    <w:rsid w:val="00AD483B"/>
    <w:rsid w:val="00AD5F9A"/>
    <w:rsid w:val="00AD65E9"/>
    <w:rsid w:val="00AD6B4E"/>
    <w:rsid w:val="00AD741A"/>
    <w:rsid w:val="00AD7C23"/>
    <w:rsid w:val="00AE339E"/>
    <w:rsid w:val="00AE4F23"/>
    <w:rsid w:val="00AE5B8F"/>
    <w:rsid w:val="00AE5BD4"/>
    <w:rsid w:val="00AE68CF"/>
    <w:rsid w:val="00AE6AE8"/>
    <w:rsid w:val="00AE7691"/>
    <w:rsid w:val="00AE7D48"/>
    <w:rsid w:val="00AF040D"/>
    <w:rsid w:val="00AF2304"/>
    <w:rsid w:val="00AF453F"/>
    <w:rsid w:val="00AF5E91"/>
    <w:rsid w:val="00AF657E"/>
    <w:rsid w:val="00AF74F2"/>
    <w:rsid w:val="00B0051F"/>
    <w:rsid w:val="00B00C43"/>
    <w:rsid w:val="00B02ACE"/>
    <w:rsid w:val="00B036BF"/>
    <w:rsid w:val="00B0391F"/>
    <w:rsid w:val="00B05C90"/>
    <w:rsid w:val="00B076C7"/>
    <w:rsid w:val="00B10D4D"/>
    <w:rsid w:val="00B12F47"/>
    <w:rsid w:val="00B1471D"/>
    <w:rsid w:val="00B14BFF"/>
    <w:rsid w:val="00B1551D"/>
    <w:rsid w:val="00B15A46"/>
    <w:rsid w:val="00B1793E"/>
    <w:rsid w:val="00B202B3"/>
    <w:rsid w:val="00B21474"/>
    <w:rsid w:val="00B224C0"/>
    <w:rsid w:val="00B22FFC"/>
    <w:rsid w:val="00B2357E"/>
    <w:rsid w:val="00B2413D"/>
    <w:rsid w:val="00B24359"/>
    <w:rsid w:val="00B25A28"/>
    <w:rsid w:val="00B27B5C"/>
    <w:rsid w:val="00B30413"/>
    <w:rsid w:val="00B32434"/>
    <w:rsid w:val="00B33FC4"/>
    <w:rsid w:val="00B34365"/>
    <w:rsid w:val="00B40771"/>
    <w:rsid w:val="00B41961"/>
    <w:rsid w:val="00B42214"/>
    <w:rsid w:val="00B42A9E"/>
    <w:rsid w:val="00B45A7E"/>
    <w:rsid w:val="00B45C86"/>
    <w:rsid w:val="00B46196"/>
    <w:rsid w:val="00B46793"/>
    <w:rsid w:val="00B46CC0"/>
    <w:rsid w:val="00B47764"/>
    <w:rsid w:val="00B50463"/>
    <w:rsid w:val="00B511B8"/>
    <w:rsid w:val="00B522C0"/>
    <w:rsid w:val="00B52C29"/>
    <w:rsid w:val="00B53741"/>
    <w:rsid w:val="00B55078"/>
    <w:rsid w:val="00B5639C"/>
    <w:rsid w:val="00B56483"/>
    <w:rsid w:val="00B5750D"/>
    <w:rsid w:val="00B57B0A"/>
    <w:rsid w:val="00B60F6B"/>
    <w:rsid w:val="00B616F4"/>
    <w:rsid w:val="00B70A1D"/>
    <w:rsid w:val="00B70F75"/>
    <w:rsid w:val="00B7235C"/>
    <w:rsid w:val="00B72594"/>
    <w:rsid w:val="00B7365E"/>
    <w:rsid w:val="00B738EF"/>
    <w:rsid w:val="00B73A54"/>
    <w:rsid w:val="00B73FD2"/>
    <w:rsid w:val="00B74CD9"/>
    <w:rsid w:val="00B74EC6"/>
    <w:rsid w:val="00B7531E"/>
    <w:rsid w:val="00B772C0"/>
    <w:rsid w:val="00B807C9"/>
    <w:rsid w:val="00B80DC9"/>
    <w:rsid w:val="00B81B87"/>
    <w:rsid w:val="00B825A5"/>
    <w:rsid w:val="00B82606"/>
    <w:rsid w:val="00B82D7E"/>
    <w:rsid w:val="00B84943"/>
    <w:rsid w:val="00B864C4"/>
    <w:rsid w:val="00B91959"/>
    <w:rsid w:val="00B91D1E"/>
    <w:rsid w:val="00B928D5"/>
    <w:rsid w:val="00B9330F"/>
    <w:rsid w:val="00B94D69"/>
    <w:rsid w:val="00B95093"/>
    <w:rsid w:val="00B9652B"/>
    <w:rsid w:val="00B966D5"/>
    <w:rsid w:val="00BA1AEB"/>
    <w:rsid w:val="00BA2F19"/>
    <w:rsid w:val="00BA3157"/>
    <w:rsid w:val="00BB17B9"/>
    <w:rsid w:val="00BB206B"/>
    <w:rsid w:val="00BB231C"/>
    <w:rsid w:val="00BB3DB9"/>
    <w:rsid w:val="00BB4824"/>
    <w:rsid w:val="00BB55EF"/>
    <w:rsid w:val="00BB7642"/>
    <w:rsid w:val="00BC1D17"/>
    <w:rsid w:val="00BC3979"/>
    <w:rsid w:val="00BC4310"/>
    <w:rsid w:val="00BC48C2"/>
    <w:rsid w:val="00BC7E48"/>
    <w:rsid w:val="00BD020D"/>
    <w:rsid w:val="00BD0C22"/>
    <w:rsid w:val="00BD0DD3"/>
    <w:rsid w:val="00BD419F"/>
    <w:rsid w:val="00BD674F"/>
    <w:rsid w:val="00BD6D05"/>
    <w:rsid w:val="00BE0166"/>
    <w:rsid w:val="00BE0337"/>
    <w:rsid w:val="00BE1AFA"/>
    <w:rsid w:val="00BE23AE"/>
    <w:rsid w:val="00BE2A55"/>
    <w:rsid w:val="00BE2ED6"/>
    <w:rsid w:val="00BE4157"/>
    <w:rsid w:val="00BE5035"/>
    <w:rsid w:val="00BE7264"/>
    <w:rsid w:val="00BF069D"/>
    <w:rsid w:val="00BF37B7"/>
    <w:rsid w:val="00BF7975"/>
    <w:rsid w:val="00BF7B28"/>
    <w:rsid w:val="00C00EDD"/>
    <w:rsid w:val="00C01471"/>
    <w:rsid w:val="00C01501"/>
    <w:rsid w:val="00C01ADB"/>
    <w:rsid w:val="00C03FAF"/>
    <w:rsid w:val="00C03FFD"/>
    <w:rsid w:val="00C113A7"/>
    <w:rsid w:val="00C11E35"/>
    <w:rsid w:val="00C128A4"/>
    <w:rsid w:val="00C130EE"/>
    <w:rsid w:val="00C138D2"/>
    <w:rsid w:val="00C17E70"/>
    <w:rsid w:val="00C228F1"/>
    <w:rsid w:val="00C240FE"/>
    <w:rsid w:val="00C241A1"/>
    <w:rsid w:val="00C25845"/>
    <w:rsid w:val="00C25EDF"/>
    <w:rsid w:val="00C273A3"/>
    <w:rsid w:val="00C27600"/>
    <w:rsid w:val="00C27943"/>
    <w:rsid w:val="00C303CE"/>
    <w:rsid w:val="00C31344"/>
    <w:rsid w:val="00C31746"/>
    <w:rsid w:val="00C32AD0"/>
    <w:rsid w:val="00C33279"/>
    <w:rsid w:val="00C33B29"/>
    <w:rsid w:val="00C3589D"/>
    <w:rsid w:val="00C36E90"/>
    <w:rsid w:val="00C379F7"/>
    <w:rsid w:val="00C37F51"/>
    <w:rsid w:val="00C40830"/>
    <w:rsid w:val="00C40E74"/>
    <w:rsid w:val="00C41CEC"/>
    <w:rsid w:val="00C447E7"/>
    <w:rsid w:val="00C452DD"/>
    <w:rsid w:val="00C45531"/>
    <w:rsid w:val="00C46771"/>
    <w:rsid w:val="00C47BC1"/>
    <w:rsid w:val="00C47D6F"/>
    <w:rsid w:val="00C50745"/>
    <w:rsid w:val="00C53AA7"/>
    <w:rsid w:val="00C53C37"/>
    <w:rsid w:val="00C5557C"/>
    <w:rsid w:val="00C55C5D"/>
    <w:rsid w:val="00C55F72"/>
    <w:rsid w:val="00C57B86"/>
    <w:rsid w:val="00C60267"/>
    <w:rsid w:val="00C60F5B"/>
    <w:rsid w:val="00C626D9"/>
    <w:rsid w:val="00C627DE"/>
    <w:rsid w:val="00C63256"/>
    <w:rsid w:val="00C63CC6"/>
    <w:rsid w:val="00C64B03"/>
    <w:rsid w:val="00C666F5"/>
    <w:rsid w:val="00C67FAF"/>
    <w:rsid w:val="00C70074"/>
    <w:rsid w:val="00C723CE"/>
    <w:rsid w:val="00C723D7"/>
    <w:rsid w:val="00C73D41"/>
    <w:rsid w:val="00C75F65"/>
    <w:rsid w:val="00C76DAF"/>
    <w:rsid w:val="00C802AB"/>
    <w:rsid w:val="00C80395"/>
    <w:rsid w:val="00C81201"/>
    <w:rsid w:val="00C81E9B"/>
    <w:rsid w:val="00C821CB"/>
    <w:rsid w:val="00C82327"/>
    <w:rsid w:val="00C84E31"/>
    <w:rsid w:val="00C85D61"/>
    <w:rsid w:val="00C90F9F"/>
    <w:rsid w:val="00C914A4"/>
    <w:rsid w:val="00C91643"/>
    <w:rsid w:val="00C9379A"/>
    <w:rsid w:val="00C93BEC"/>
    <w:rsid w:val="00C957DD"/>
    <w:rsid w:val="00CA1F27"/>
    <w:rsid w:val="00CA1F3C"/>
    <w:rsid w:val="00CA28F4"/>
    <w:rsid w:val="00CA323E"/>
    <w:rsid w:val="00CA3D91"/>
    <w:rsid w:val="00CA3EA7"/>
    <w:rsid w:val="00CA4819"/>
    <w:rsid w:val="00CA4E99"/>
    <w:rsid w:val="00CA5020"/>
    <w:rsid w:val="00CA793F"/>
    <w:rsid w:val="00CB226F"/>
    <w:rsid w:val="00CB6DB7"/>
    <w:rsid w:val="00CB7EF8"/>
    <w:rsid w:val="00CC0031"/>
    <w:rsid w:val="00CC1987"/>
    <w:rsid w:val="00CC4747"/>
    <w:rsid w:val="00CC4EB2"/>
    <w:rsid w:val="00CC5AE4"/>
    <w:rsid w:val="00CD08A9"/>
    <w:rsid w:val="00CD2AAA"/>
    <w:rsid w:val="00CD3878"/>
    <w:rsid w:val="00CD60EA"/>
    <w:rsid w:val="00CD61DE"/>
    <w:rsid w:val="00CD67ED"/>
    <w:rsid w:val="00CD692F"/>
    <w:rsid w:val="00CD6F33"/>
    <w:rsid w:val="00CD75B3"/>
    <w:rsid w:val="00CE07AE"/>
    <w:rsid w:val="00CE1750"/>
    <w:rsid w:val="00CE1AFE"/>
    <w:rsid w:val="00CE3679"/>
    <w:rsid w:val="00CE383A"/>
    <w:rsid w:val="00CE3F23"/>
    <w:rsid w:val="00CE4325"/>
    <w:rsid w:val="00CE4468"/>
    <w:rsid w:val="00CE483F"/>
    <w:rsid w:val="00CE5A9F"/>
    <w:rsid w:val="00CE697F"/>
    <w:rsid w:val="00CE79C7"/>
    <w:rsid w:val="00CF142C"/>
    <w:rsid w:val="00CF1612"/>
    <w:rsid w:val="00CF1DF2"/>
    <w:rsid w:val="00CF1E6D"/>
    <w:rsid w:val="00CF22CA"/>
    <w:rsid w:val="00CF2CD1"/>
    <w:rsid w:val="00CF4EE4"/>
    <w:rsid w:val="00CF58A5"/>
    <w:rsid w:val="00CF6643"/>
    <w:rsid w:val="00CF7826"/>
    <w:rsid w:val="00D00F49"/>
    <w:rsid w:val="00D021E9"/>
    <w:rsid w:val="00D02AC1"/>
    <w:rsid w:val="00D0556A"/>
    <w:rsid w:val="00D05B9C"/>
    <w:rsid w:val="00D05D9A"/>
    <w:rsid w:val="00D06A28"/>
    <w:rsid w:val="00D11534"/>
    <w:rsid w:val="00D12650"/>
    <w:rsid w:val="00D1295B"/>
    <w:rsid w:val="00D12F9F"/>
    <w:rsid w:val="00D142DD"/>
    <w:rsid w:val="00D147EE"/>
    <w:rsid w:val="00D14CB8"/>
    <w:rsid w:val="00D16F29"/>
    <w:rsid w:val="00D177EA"/>
    <w:rsid w:val="00D17D78"/>
    <w:rsid w:val="00D20245"/>
    <w:rsid w:val="00D224B2"/>
    <w:rsid w:val="00D22B2D"/>
    <w:rsid w:val="00D2358D"/>
    <w:rsid w:val="00D23E70"/>
    <w:rsid w:val="00D24D37"/>
    <w:rsid w:val="00D26B66"/>
    <w:rsid w:val="00D27813"/>
    <w:rsid w:val="00D27862"/>
    <w:rsid w:val="00D30A2A"/>
    <w:rsid w:val="00D31BD2"/>
    <w:rsid w:val="00D31D3A"/>
    <w:rsid w:val="00D332A1"/>
    <w:rsid w:val="00D33374"/>
    <w:rsid w:val="00D34E26"/>
    <w:rsid w:val="00D35070"/>
    <w:rsid w:val="00D353C1"/>
    <w:rsid w:val="00D355DF"/>
    <w:rsid w:val="00D35A93"/>
    <w:rsid w:val="00D36890"/>
    <w:rsid w:val="00D36987"/>
    <w:rsid w:val="00D40687"/>
    <w:rsid w:val="00D4070E"/>
    <w:rsid w:val="00D42B91"/>
    <w:rsid w:val="00D42C64"/>
    <w:rsid w:val="00D43C9B"/>
    <w:rsid w:val="00D441F5"/>
    <w:rsid w:val="00D460CE"/>
    <w:rsid w:val="00D47E2F"/>
    <w:rsid w:val="00D5186C"/>
    <w:rsid w:val="00D51D0D"/>
    <w:rsid w:val="00D53453"/>
    <w:rsid w:val="00D540AE"/>
    <w:rsid w:val="00D55AA4"/>
    <w:rsid w:val="00D55B3E"/>
    <w:rsid w:val="00D6053C"/>
    <w:rsid w:val="00D607A8"/>
    <w:rsid w:val="00D65DC6"/>
    <w:rsid w:val="00D7024F"/>
    <w:rsid w:val="00D70CE4"/>
    <w:rsid w:val="00D71685"/>
    <w:rsid w:val="00D718F4"/>
    <w:rsid w:val="00D7214B"/>
    <w:rsid w:val="00D72858"/>
    <w:rsid w:val="00D72B59"/>
    <w:rsid w:val="00D74CF3"/>
    <w:rsid w:val="00D750D1"/>
    <w:rsid w:val="00D75C29"/>
    <w:rsid w:val="00D75CA5"/>
    <w:rsid w:val="00D75EF2"/>
    <w:rsid w:val="00D804D6"/>
    <w:rsid w:val="00D83097"/>
    <w:rsid w:val="00D84762"/>
    <w:rsid w:val="00D85DAB"/>
    <w:rsid w:val="00D9093A"/>
    <w:rsid w:val="00D91BE0"/>
    <w:rsid w:val="00D9230A"/>
    <w:rsid w:val="00D92F2B"/>
    <w:rsid w:val="00D945EC"/>
    <w:rsid w:val="00D94A17"/>
    <w:rsid w:val="00D9608A"/>
    <w:rsid w:val="00D96249"/>
    <w:rsid w:val="00D96E60"/>
    <w:rsid w:val="00DA04AC"/>
    <w:rsid w:val="00DA3ACE"/>
    <w:rsid w:val="00DA4357"/>
    <w:rsid w:val="00DA4F30"/>
    <w:rsid w:val="00DA51EC"/>
    <w:rsid w:val="00DA6488"/>
    <w:rsid w:val="00DA6A15"/>
    <w:rsid w:val="00DA71F6"/>
    <w:rsid w:val="00DB1076"/>
    <w:rsid w:val="00DB1499"/>
    <w:rsid w:val="00DB21E7"/>
    <w:rsid w:val="00DB762B"/>
    <w:rsid w:val="00DB774E"/>
    <w:rsid w:val="00DC1481"/>
    <w:rsid w:val="00DC1906"/>
    <w:rsid w:val="00DC3752"/>
    <w:rsid w:val="00DC5398"/>
    <w:rsid w:val="00DC57A4"/>
    <w:rsid w:val="00DC6BFF"/>
    <w:rsid w:val="00DC6E03"/>
    <w:rsid w:val="00DC751B"/>
    <w:rsid w:val="00DD06BD"/>
    <w:rsid w:val="00DD1443"/>
    <w:rsid w:val="00DD259C"/>
    <w:rsid w:val="00DD262B"/>
    <w:rsid w:val="00DD2979"/>
    <w:rsid w:val="00DD2D44"/>
    <w:rsid w:val="00DD3789"/>
    <w:rsid w:val="00DD6261"/>
    <w:rsid w:val="00DE06FC"/>
    <w:rsid w:val="00DE0E26"/>
    <w:rsid w:val="00DE18E5"/>
    <w:rsid w:val="00DE3F2C"/>
    <w:rsid w:val="00DE53FA"/>
    <w:rsid w:val="00DE6D0A"/>
    <w:rsid w:val="00DF065F"/>
    <w:rsid w:val="00DF083B"/>
    <w:rsid w:val="00DF0C31"/>
    <w:rsid w:val="00DF0E10"/>
    <w:rsid w:val="00DF114A"/>
    <w:rsid w:val="00DF13EE"/>
    <w:rsid w:val="00DF2843"/>
    <w:rsid w:val="00DF2BC5"/>
    <w:rsid w:val="00DF3C46"/>
    <w:rsid w:val="00DF7FB2"/>
    <w:rsid w:val="00E00492"/>
    <w:rsid w:val="00E01B36"/>
    <w:rsid w:val="00E01D4A"/>
    <w:rsid w:val="00E01F0D"/>
    <w:rsid w:val="00E01F2E"/>
    <w:rsid w:val="00E02289"/>
    <w:rsid w:val="00E02448"/>
    <w:rsid w:val="00E03E1D"/>
    <w:rsid w:val="00E04347"/>
    <w:rsid w:val="00E043E3"/>
    <w:rsid w:val="00E04642"/>
    <w:rsid w:val="00E04E82"/>
    <w:rsid w:val="00E06A6D"/>
    <w:rsid w:val="00E07949"/>
    <w:rsid w:val="00E07F2C"/>
    <w:rsid w:val="00E10FEB"/>
    <w:rsid w:val="00E1311F"/>
    <w:rsid w:val="00E133F7"/>
    <w:rsid w:val="00E138D6"/>
    <w:rsid w:val="00E13E1D"/>
    <w:rsid w:val="00E147CC"/>
    <w:rsid w:val="00E16879"/>
    <w:rsid w:val="00E17134"/>
    <w:rsid w:val="00E17CD2"/>
    <w:rsid w:val="00E20498"/>
    <w:rsid w:val="00E22239"/>
    <w:rsid w:val="00E23196"/>
    <w:rsid w:val="00E23F1D"/>
    <w:rsid w:val="00E2402E"/>
    <w:rsid w:val="00E240B3"/>
    <w:rsid w:val="00E251E2"/>
    <w:rsid w:val="00E258A7"/>
    <w:rsid w:val="00E25A9F"/>
    <w:rsid w:val="00E30FBF"/>
    <w:rsid w:val="00E36815"/>
    <w:rsid w:val="00E36E0A"/>
    <w:rsid w:val="00E37D31"/>
    <w:rsid w:val="00E37F41"/>
    <w:rsid w:val="00E40BD8"/>
    <w:rsid w:val="00E41192"/>
    <w:rsid w:val="00E41E52"/>
    <w:rsid w:val="00E41F27"/>
    <w:rsid w:val="00E42EA2"/>
    <w:rsid w:val="00E449DB"/>
    <w:rsid w:val="00E455B8"/>
    <w:rsid w:val="00E4588E"/>
    <w:rsid w:val="00E47C97"/>
    <w:rsid w:val="00E47EDD"/>
    <w:rsid w:val="00E52F0A"/>
    <w:rsid w:val="00E53688"/>
    <w:rsid w:val="00E54DA6"/>
    <w:rsid w:val="00E55A3C"/>
    <w:rsid w:val="00E57CB9"/>
    <w:rsid w:val="00E57D94"/>
    <w:rsid w:val="00E612BE"/>
    <w:rsid w:val="00E61C62"/>
    <w:rsid w:val="00E62142"/>
    <w:rsid w:val="00E644AB"/>
    <w:rsid w:val="00E64603"/>
    <w:rsid w:val="00E67E20"/>
    <w:rsid w:val="00E67EE5"/>
    <w:rsid w:val="00E700FB"/>
    <w:rsid w:val="00E70199"/>
    <w:rsid w:val="00E75146"/>
    <w:rsid w:val="00E7590A"/>
    <w:rsid w:val="00E75B3E"/>
    <w:rsid w:val="00E77424"/>
    <w:rsid w:val="00E77B4A"/>
    <w:rsid w:val="00E833C9"/>
    <w:rsid w:val="00E857B4"/>
    <w:rsid w:val="00E861E2"/>
    <w:rsid w:val="00E8754B"/>
    <w:rsid w:val="00E9035D"/>
    <w:rsid w:val="00E92499"/>
    <w:rsid w:val="00E92C44"/>
    <w:rsid w:val="00E940BC"/>
    <w:rsid w:val="00E9421B"/>
    <w:rsid w:val="00E94EBE"/>
    <w:rsid w:val="00E94FA6"/>
    <w:rsid w:val="00EA0AC9"/>
    <w:rsid w:val="00EA1ED2"/>
    <w:rsid w:val="00EA2CC6"/>
    <w:rsid w:val="00EA2D61"/>
    <w:rsid w:val="00EA3DFE"/>
    <w:rsid w:val="00EA47A2"/>
    <w:rsid w:val="00EA47E1"/>
    <w:rsid w:val="00EA5186"/>
    <w:rsid w:val="00EA5975"/>
    <w:rsid w:val="00EA72F0"/>
    <w:rsid w:val="00EA7922"/>
    <w:rsid w:val="00EB3101"/>
    <w:rsid w:val="00EB31F1"/>
    <w:rsid w:val="00EB4024"/>
    <w:rsid w:val="00EB4D3B"/>
    <w:rsid w:val="00EB5207"/>
    <w:rsid w:val="00EB7336"/>
    <w:rsid w:val="00EB7B61"/>
    <w:rsid w:val="00EB7D35"/>
    <w:rsid w:val="00EC0159"/>
    <w:rsid w:val="00EC161D"/>
    <w:rsid w:val="00EC2E00"/>
    <w:rsid w:val="00EC35D2"/>
    <w:rsid w:val="00EC4E7A"/>
    <w:rsid w:val="00EC544A"/>
    <w:rsid w:val="00EC57B6"/>
    <w:rsid w:val="00EC7540"/>
    <w:rsid w:val="00ED0C6A"/>
    <w:rsid w:val="00ED2923"/>
    <w:rsid w:val="00ED399A"/>
    <w:rsid w:val="00ED3F00"/>
    <w:rsid w:val="00ED4B2B"/>
    <w:rsid w:val="00ED651F"/>
    <w:rsid w:val="00ED68BB"/>
    <w:rsid w:val="00ED7741"/>
    <w:rsid w:val="00EE12C5"/>
    <w:rsid w:val="00EE299C"/>
    <w:rsid w:val="00EE48FF"/>
    <w:rsid w:val="00EE5A11"/>
    <w:rsid w:val="00EE600A"/>
    <w:rsid w:val="00EE79FC"/>
    <w:rsid w:val="00EF0078"/>
    <w:rsid w:val="00EF0C18"/>
    <w:rsid w:val="00EF1F7E"/>
    <w:rsid w:val="00EF2EC4"/>
    <w:rsid w:val="00EF3644"/>
    <w:rsid w:val="00EF5595"/>
    <w:rsid w:val="00EF719A"/>
    <w:rsid w:val="00F00525"/>
    <w:rsid w:val="00F00D44"/>
    <w:rsid w:val="00F0125A"/>
    <w:rsid w:val="00F017F0"/>
    <w:rsid w:val="00F01CE9"/>
    <w:rsid w:val="00F0371F"/>
    <w:rsid w:val="00F0687D"/>
    <w:rsid w:val="00F06F89"/>
    <w:rsid w:val="00F074B8"/>
    <w:rsid w:val="00F0754A"/>
    <w:rsid w:val="00F07FEC"/>
    <w:rsid w:val="00F10C5B"/>
    <w:rsid w:val="00F11282"/>
    <w:rsid w:val="00F11553"/>
    <w:rsid w:val="00F16ED3"/>
    <w:rsid w:val="00F20B09"/>
    <w:rsid w:val="00F21860"/>
    <w:rsid w:val="00F22C37"/>
    <w:rsid w:val="00F22D71"/>
    <w:rsid w:val="00F25E01"/>
    <w:rsid w:val="00F2733C"/>
    <w:rsid w:val="00F27F10"/>
    <w:rsid w:val="00F311ED"/>
    <w:rsid w:val="00F32DEA"/>
    <w:rsid w:val="00F417BD"/>
    <w:rsid w:val="00F43BA6"/>
    <w:rsid w:val="00F45AA5"/>
    <w:rsid w:val="00F467CD"/>
    <w:rsid w:val="00F515C5"/>
    <w:rsid w:val="00F5217D"/>
    <w:rsid w:val="00F52841"/>
    <w:rsid w:val="00F53E98"/>
    <w:rsid w:val="00F56503"/>
    <w:rsid w:val="00F646D0"/>
    <w:rsid w:val="00F6772F"/>
    <w:rsid w:val="00F67E50"/>
    <w:rsid w:val="00F70491"/>
    <w:rsid w:val="00F707AA"/>
    <w:rsid w:val="00F70B92"/>
    <w:rsid w:val="00F71C1A"/>
    <w:rsid w:val="00F72CFC"/>
    <w:rsid w:val="00F75077"/>
    <w:rsid w:val="00F75483"/>
    <w:rsid w:val="00F75985"/>
    <w:rsid w:val="00F75BC5"/>
    <w:rsid w:val="00F77291"/>
    <w:rsid w:val="00F77A33"/>
    <w:rsid w:val="00F8005B"/>
    <w:rsid w:val="00F80EEC"/>
    <w:rsid w:val="00F80FE6"/>
    <w:rsid w:val="00F81CD4"/>
    <w:rsid w:val="00F86E7F"/>
    <w:rsid w:val="00F9388E"/>
    <w:rsid w:val="00F93A65"/>
    <w:rsid w:val="00F946D8"/>
    <w:rsid w:val="00F94B59"/>
    <w:rsid w:val="00FA0816"/>
    <w:rsid w:val="00FA133B"/>
    <w:rsid w:val="00FA1567"/>
    <w:rsid w:val="00FA5325"/>
    <w:rsid w:val="00FA5FC4"/>
    <w:rsid w:val="00FA631B"/>
    <w:rsid w:val="00FA6C8C"/>
    <w:rsid w:val="00FA7037"/>
    <w:rsid w:val="00FB24BC"/>
    <w:rsid w:val="00FB2D5F"/>
    <w:rsid w:val="00FB3810"/>
    <w:rsid w:val="00FB3C12"/>
    <w:rsid w:val="00FB3CD9"/>
    <w:rsid w:val="00FB56A8"/>
    <w:rsid w:val="00FC02D2"/>
    <w:rsid w:val="00FC0D16"/>
    <w:rsid w:val="00FC1448"/>
    <w:rsid w:val="00FC2FDB"/>
    <w:rsid w:val="00FC55CB"/>
    <w:rsid w:val="00FC5984"/>
    <w:rsid w:val="00FC6DBF"/>
    <w:rsid w:val="00FC7D2A"/>
    <w:rsid w:val="00FD3748"/>
    <w:rsid w:val="00FD4A11"/>
    <w:rsid w:val="00FD529C"/>
    <w:rsid w:val="00FE09D0"/>
    <w:rsid w:val="00FE1C4C"/>
    <w:rsid w:val="00FE1FFD"/>
    <w:rsid w:val="00FE24BC"/>
    <w:rsid w:val="00FE4008"/>
    <w:rsid w:val="00FE4346"/>
    <w:rsid w:val="00FE4439"/>
    <w:rsid w:val="00FE5C23"/>
    <w:rsid w:val="00FE7F0C"/>
    <w:rsid w:val="00FF270B"/>
    <w:rsid w:val="00FF52B3"/>
    <w:rsid w:val="00FF694D"/>
    <w:rsid w:val="014AD20D"/>
    <w:rsid w:val="01509893"/>
    <w:rsid w:val="0177D1EA"/>
    <w:rsid w:val="023894DC"/>
    <w:rsid w:val="02689DAB"/>
    <w:rsid w:val="039C7EC8"/>
    <w:rsid w:val="03C68FF9"/>
    <w:rsid w:val="053130DC"/>
    <w:rsid w:val="0567D3DF"/>
    <w:rsid w:val="05D1C36B"/>
    <w:rsid w:val="0613A484"/>
    <w:rsid w:val="067D61BB"/>
    <w:rsid w:val="06E5A001"/>
    <w:rsid w:val="0763EADB"/>
    <w:rsid w:val="07944367"/>
    <w:rsid w:val="079E0DFD"/>
    <w:rsid w:val="07E42ACF"/>
    <w:rsid w:val="08062F66"/>
    <w:rsid w:val="0823359D"/>
    <w:rsid w:val="085B12A9"/>
    <w:rsid w:val="092B4AB3"/>
    <w:rsid w:val="0968DECE"/>
    <w:rsid w:val="0976D5DD"/>
    <w:rsid w:val="098F261D"/>
    <w:rsid w:val="09ECED7E"/>
    <w:rsid w:val="0A1C1672"/>
    <w:rsid w:val="0A459047"/>
    <w:rsid w:val="0AAF6E96"/>
    <w:rsid w:val="0ABF9F7B"/>
    <w:rsid w:val="0AE05602"/>
    <w:rsid w:val="0B041F7F"/>
    <w:rsid w:val="0B7EF534"/>
    <w:rsid w:val="0B94EC29"/>
    <w:rsid w:val="0BA3351D"/>
    <w:rsid w:val="0BD0C50F"/>
    <w:rsid w:val="0BD188B6"/>
    <w:rsid w:val="0C66B80D"/>
    <w:rsid w:val="0CB38168"/>
    <w:rsid w:val="0D9A9C45"/>
    <w:rsid w:val="0DDBB917"/>
    <w:rsid w:val="0DE38CB5"/>
    <w:rsid w:val="0DFD858D"/>
    <w:rsid w:val="0E268E89"/>
    <w:rsid w:val="0E3B2747"/>
    <w:rsid w:val="0E42CDBA"/>
    <w:rsid w:val="0E57AEDB"/>
    <w:rsid w:val="0EF5A01B"/>
    <w:rsid w:val="0F0074B6"/>
    <w:rsid w:val="102A17A0"/>
    <w:rsid w:val="10355028"/>
    <w:rsid w:val="105BBF83"/>
    <w:rsid w:val="1078A89E"/>
    <w:rsid w:val="108F6282"/>
    <w:rsid w:val="10C9CC56"/>
    <w:rsid w:val="10FD1589"/>
    <w:rsid w:val="113320F3"/>
    <w:rsid w:val="113BD7F1"/>
    <w:rsid w:val="11504427"/>
    <w:rsid w:val="11BD87E4"/>
    <w:rsid w:val="120655B5"/>
    <w:rsid w:val="13A253A1"/>
    <w:rsid w:val="13C1CA1C"/>
    <w:rsid w:val="146B049D"/>
    <w:rsid w:val="14A1539D"/>
    <w:rsid w:val="14AD1EE6"/>
    <w:rsid w:val="14CF11BB"/>
    <w:rsid w:val="14F3C5E3"/>
    <w:rsid w:val="160052D6"/>
    <w:rsid w:val="1631A217"/>
    <w:rsid w:val="1643CD3F"/>
    <w:rsid w:val="170C6709"/>
    <w:rsid w:val="171310DD"/>
    <w:rsid w:val="17522D3E"/>
    <w:rsid w:val="1789D71F"/>
    <w:rsid w:val="1799049A"/>
    <w:rsid w:val="17C2331C"/>
    <w:rsid w:val="17DFD02D"/>
    <w:rsid w:val="18CA6647"/>
    <w:rsid w:val="1985BA5C"/>
    <w:rsid w:val="1998F14E"/>
    <w:rsid w:val="19DA9E1C"/>
    <w:rsid w:val="19F83765"/>
    <w:rsid w:val="1A3134AD"/>
    <w:rsid w:val="1AD4805F"/>
    <w:rsid w:val="1AFE364D"/>
    <w:rsid w:val="1B30C384"/>
    <w:rsid w:val="1B6F4BB7"/>
    <w:rsid w:val="1B930B31"/>
    <w:rsid w:val="1BD22477"/>
    <w:rsid w:val="1C1A8D1A"/>
    <w:rsid w:val="1C50CC92"/>
    <w:rsid w:val="1C80BBC7"/>
    <w:rsid w:val="1C968356"/>
    <w:rsid w:val="1CA0F46D"/>
    <w:rsid w:val="1ED9B3EA"/>
    <w:rsid w:val="1F3E2850"/>
    <w:rsid w:val="201AB812"/>
    <w:rsid w:val="202299E8"/>
    <w:rsid w:val="2097BEF0"/>
    <w:rsid w:val="20AC807D"/>
    <w:rsid w:val="20E1E223"/>
    <w:rsid w:val="213FE1D8"/>
    <w:rsid w:val="217EAFA9"/>
    <w:rsid w:val="21A49080"/>
    <w:rsid w:val="226386E7"/>
    <w:rsid w:val="22C1E2D1"/>
    <w:rsid w:val="22D903AE"/>
    <w:rsid w:val="23340A46"/>
    <w:rsid w:val="233C46F0"/>
    <w:rsid w:val="23876F63"/>
    <w:rsid w:val="240784E7"/>
    <w:rsid w:val="242C9A16"/>
    <w:rsid w:val="2458B763"/>
    <w:rsid w:val="24825AD4"/>
    <w:rsid w:val="24EBEF88"/>
    <w:rsid w:val="2500201C"/>
    <w:rsid w:val="2588BBD5"/>
    <w:rsid w:val="258A59FD"/>
    <w:rsid w:val="258F6828"/>
    <w:rsid w:val="25E0FE17"/>
    <w:rsid w:val="25E4C6ED"/>
    <w:rsid w:val="2601EBAB"/>
    <w:rsid w:val="2616BC3D"/>
    <w:rsid w:val="2649DC35"/>
    <w:rsid w:val="266572C8"/>
    <w:rsid w:val="2666EC79"/>
    <w:rsid w:val="26859C0F"/>
    <w:rsid w:val="26BD8ED5"/>
    <w:rsid w:val="26C69936"/>
    <w:rsid w:val="26E5921B"/>
    <w:rsid w:val="273CB565"/>
    <w:rsid w:val="2885877C"/>
    <w:rsid w:val="289BBDC0"/>
    <w:rsid w:val="28B24ABB"/>
    <w:rsid w:val="28C6F572"/>
    <w:rsid w:val="2930B230"/>
    <w:rsid w:val="299C1EA7"/>
    <w:rsid w:val="29E4A926"/>
    <w:rsid w:val="2A4CB7A6"/>
    <w:rsid w:val="2A5D4C28"/>
    <w:rsid w:val="2A9146C4"/>
    <w:rsid w:val="2B165E2B"/>
    <w:rsid w:val="2BF6152A"/>
    <w:rsid w:val="2C12E2B5"/>
    <w:rsid w:val="2D2B32C2"/>
    <w:rsid w:val="2D307B10"/>
    <w:rsid w:val="2D9DA059"/>
    <w:rsid w:val="2DB9A84E"/>
    <w:rsid w:val="2E1DFCFA"/>
    <w:rsid w:val="2EB2F4FD"/>
    <w:rsid w:val="2EDB2B33"/>
    <w:rsid w:val="2F45DC7B"/>
    <w:rsid w:val="31096848"/>
    <w:rsid w:val="3154C29F"/>
    <w:rsid w:val="31AB995D"/>
    <w:rsid w:val="32150DB4"/>
    <w:rsid w:val="321953AC"/>
    <w:rsid w:val="322492AE"/>
    <w:rsid w:val="324A4CCD"/>
    <w:rsid w:val="324F23CE"/>
    <w:rsid w:val="327E8668"/>
    <w:rsid w:val="33270052"/>
    <w:rsid w:val="33394FCB"/>
    <w:rsid w:val="337712F5"/>
    <w:rsid w:val="33906E47"/>
    <w:rsid w:val="340E7789"/>
    <w:rsid w:val="355AF9DD"/>
    <w:rsid w:val="3585E9C4"/>
    <w:rsid w:val="35A0EB24"/>
    <w:rsid w:val="36445051"/>
    <w:rsid w:val="366C1579"/>
    <w:rsid w:val="366C37AC"/>
    <w:rsid w:val="36CABA4F"/>
    <w:rsid w:val="37138462"/>
    <w:rsid w:val="374C17D8"/>
    <w:rsid w:val="37BCBA8D"/>
    <w:rsid w:val="380D7E2C"/>
    <w:rsid w:val="38A7DAFA"/>
    <w:rsid w:val="38D90F46"/>
    <w:rsid w:val="392071D8"/>
    <w:rsid w:val="39E1A528"/>
    <w:rsid w:val="3A09A38D"/>
    <w:rsid w:val="3A24A593"/>
    <w:rsid w:val="3A7B226F"/>
    <w:rsid w:val="3ADED27A"/>
    <w:rsid w:val="3B52528B"/>
    <w:rsid w:val="3B8CE940"/>
    <w:rsid w:val="3C2FBF89"/>
    <w:rsid w:val="3C42216F"/>
    <w:rsid w:val="3C8D4D73"/>
    <w:rsid w:val="3D35AEF7"/>
    <w:rsid w:val="3D3EEF05"/>
    <w:rsid w:val="3DC9C38B"/>
    <w:rsid w:val="3DD6DC26"/>
    <w:rsid w:val="3E92E710"/>
    <w:rsid w:val="3F0AE01F"/>
    <w:rsid w:val="3F23EAC9"/>
    <w:rsid w:val="3F75250E"/>
    <w:rsid w:val="3F8BBB01"/>
    <w:rsid w:val="3FD97A1E"/>
    <w:rsid w:val="3FEDA948"/>
    <w:rsid w:val="3FF66E08"/>
    <w:rsid w:val="405D1A26"/>
    <w:rsid w:val="409BF1C3"/>
    <w:rsid w:val="40E1E9B2"/>
    <w:rsid w:val="415114A7"/>
    <w:rsid w:val="4166C1BA"/>
    <w:rsid w:val="417D7D15"/>
    <w:rsid w:val="419534A1"/>
    <w:rsid w:val="41BC290A"/>
    <w:rsid w:val="41DF2244"/>
    <w:rsid w:val="42239E21"/>
    <w:rsid w:val="429FCE42"/>
    <w:rsid w:val="42A1438D"/>
    <w:rsid w:val="42A61C5A"/>
    <w:rsid w:val="42ACC04F"/>
    <w:rsid w:val="433EEDD6"/>
    <w:rsid w:val="439A60B0"/>
    <w:rsid w:val="44243174"/>
    <w:rsid w:val="4432153B"/>
    <w:rsid w:val="4486FCF2"/>
    <w:rsid w:val="451A5509"/>
    <w:rsid w:val="458EB267"/>
    <w:rsid w:val="4590658A"/>
    <w:rsid w:val="45EB3A3F"/>
    <w:rsid w:val="45F5A9D5"/>
    <w:rsid w:val="45F949D3"/>
    <w:rsid w:val="4628410C"/>
    <w:rsid w:val="46293FAA"/>
    <w:rsid w:val="46E1AA95"/>
    <w:rsid w:val="46FEB647"/>
    <w:rsid w:val="47347142"/>
    <w:rsid w:val="47B688D6"/>
    <w:rsid w:val="481FB22A"/>
    <w:rsid w:val="48297253"/>
    <w:rsid w:val="4866E6EA"/>
    <w:rsid w:val="48E86122"/>
    <w:rsid w:val="49728AE9"/>
    <w:rsid w:val="4A26A41D"/>
    <w:rsid w:val="4A313142"/>
    <w:rsid w:val="4A476213"/>
    <w:rsid w:val="4B2AD376"/>
    <w:rsid w:val="4B2E08ED"/>
    <w:rsid w:val="4B815987"/>
    <w:rsid w:val="4C7E6B54"/>
    <w:rsid w:val="4C9374A9"/>
    <w:rsid w:val="4CC71BCD"/>
    <w:rsid w:val="4D06FF74"/>
    <w:rsid w:val="4D3F3CC7"/>
    <w:rsid w:val="4D6185EE"/>
    <w:rsid w:val="4D7681E0"/>
    <w:rsid w:val="4E2BEDDB"/>
    <w:rsid w:val="4E3B4454"/>
    <w:rsid w:val="4ED8273E"/>
    <w:rsid w:val="4F135058"/>
    <w:rsid w:val="4F43D12C"/>
    <w:rsid w:val="4F463C85"/>
    <w:rsid w:val="4F64CD44"/>
    <w:rsid w:val="4F912091"/>
    <w:rsid w:val="4FB8A7C3"/>
    <w:rsid w:val="4FE1EA57"/>
    <w:rsid w:val="4FFF2E62"/>
    <w:rsid w:val="5021C9DB"/>
    <w:rsid w:val="502FDFE4"/>
    <w:rsid w:val="50805053"/>
    <w:rsid w:val="50B7838A"/>
    <w:rsid w:val="5180DA67"/>
    <w:rsid w:val="5203CBAC"/>
    <w:rsid w:val="520C2AAE"/>
    <w:rsid w:val="53016FB3"/>
    <w:rsid w:val="531789AF"/>
    <w:rsid w:val="5355804B"/>
    <w:rsid w:val="540D3D7C"/>
    <w:rsid w:val="54361917"/>
    <w:rsid w:val="549D5E9E"/>
    <w:rsid w:val="54DC9D5D"/>
    <w:rsid w:val="5555A899"/>
    <w:rsid w:val="55CE547A"/>
    <w:rsid w:val="55D65C67"/>
    <w:rsid w:val="56E68C0F"/>
    <w:rsid w:val="57470744"/>
    <w:rsid w:val="57BD38A2"/>
    <w:rsid w:val="5810421E"/>
    <w:rsid w:val="58D10137"/>
    <w:rsid w:val="58DEEDD5"/>
    <w:rsid w:val="58FF5E0F"/>
    <w:rsid w:val="5961857E"/>
    <w:rsid w:val="59BF67E4"/>
    <w:rsid w:val="59CDA1C6"/>
    <w:rsid w:val="59D9E013"/>
    <w:rsid w:val="59DFFDEC"/>
    <w:rsid w:val="5A0ED96E"/>
    <w:rsid w:val="5A402541"/>
    <w:rsid w:val="5A828B65"/>
    <w:rsid w:val="5AEB1639"/>
    <w:rsid w:val="5B38250D"/>
    <w:rsid w:val="5B4D7188"/>
    <w:rsid w:val="5B883F49"/>
    <w:rsid w:val="5C3EB947"/>
    <w:rsid w:val="5CB8AD1A"/>
    <w:rsid w:val="5CBADA0C"/>
    <w:rsid w:val="5D450546"/>
    <w:rsid w:val="5D99D996"/>
    <w:rsid w:val="5DA5C8C7"/>
    <w:rsid w:val="5DFD7E36"/>
    <w:rsid w:val="5EBF2EB6"/>
    <w:rsid w:val="5F2EC7FF"/>
    <w:rsid w:val="5F4E9D32"/>
    <w:rsid w:val="5FCBBD2E"/>
    <w:rsid w:val="5FF6904D"/>
    <w:rsid w:val="60F0961C"/>
    <w:rsid w:val="60FAA298"/>
    <w:rsid w:val="619DFC9B"/>
    <w:rsid w:val="61E9C062"/>
    <w:rsid w:val="6209982A"/>
    <w:rsid w:val="622198BC"/>
    <w:rsid w:val="623686E0"/>
    <w:rsid w:val="62438645"/>
    <w:rsid w:val="62BAED45"/>
    <w:rsid w:val="62D91EFF"/>
    <w:rsid w:val="631543F4"/>
    <w:rsid w:val="63A18778"/>
    <w:rsid w:val="63FFF8C3"/>
    <w:rsid w:val="642BE4E6"/>
    <w:rsid w:val="6485C2F3"/>
    <w:rsid w:val="65C4D5EE"/>
    <w:rsid w:val="663387D0"/>
    <w:rsid w:val="66B28457"/>
    <w:rsid w:val="66E3A815"/>
    <w:rsid w:val="66FABC19"/>
    <w:rsid w:val="673863E2"/>
    <w:rsid w:val="67878FD4"/>
    <w:rsid w:val="678B39CE"/>
    <w:rsid w:val="679F8A78"/>
    <w:rsid w:val="681370A0"/>
    <w:rsid w:val="6868187A"/>
    <w:rsid w:val="68DC1453"/>
    <w:rsid w:val="690EA5B3"/>
    <w:rsid w:val="693218FB"/>
    <w:rsid w:val="6981B1FD"/>
    <w:rsid w:val="6A0D4A48"/>
    <w:rsid w:val="6B5372FB"/>
    <w:rsid w:val="6BD535A9"/>
    <w:rsid w:val="6C726F07"/>
    <w:rsid w:val="6CA9309A"/>
    <w:rsid w:val="6D7F17A8"/>
    <w:rsid w:val="6DB422B5"/>
    <w:rsid w:val="6E250D4D"/>
    <w:rsid w:val="6E71641C"/>
    <w:rsid w:val="6E88FB98"/>
    <w:rsid w:val="6EAAAAEA"/>
    <w:rsid w:val="6F604744"/>
    <w:rsid w:val="6F65B99A"/>
    <w:rsid w:val="6F6A8376"/>
    <w:rsid w:val="6FCAA978"/>
    <w:rsid w:val="6FDBA0C0"/>
    <w:rsid w:val="6FF3121B"/>
    <w:rsid w:val="70253D35"/>
    <w:rsid w:val="70727BEB"/>
    <w:rsid w:val="7107E6BF"/>
    <w:rsid w:val="7127ABCF"/>
    <w:rsid w:val="7129DEB5"/>
    <w:rsid w:val="72B944A0"/>
    <w:rsid w:val="73416FEF"/>
    <w:rsid w:val="7365D791"/>
    <w:rsid w:val="738290C3"/>
    <w:rsid w:val="738E956C"/>
    <w:rsid w:val="74901575"/>
    <w:rsid w:val="74EA99DD"/>
    <w:rsid w:val="75236381"/>
    <w:rsid w:val="7555D341"/>
    <w:rsid w:val="75A4091C"/>
    <w:rsid w:val="75D23F4A"/>
    <w:rsid w:val="767EF4CC"/>
    <w:rsid w:val="77817390"/>
    <w:rsid w:val="77E3F52F"/>
    <w:rsid w:val="77E58C77"/>
    <w:rsid w:val="78553A80"/>
    <w:rsid w:val="793F7334"/>
    <w:rsid w:val="799E31B4"/>
    <w:rsid w:val="79A47063"/>
    <w:rsid w:val="79A800FB"/>
    <w:rsid w:val="7A1DDF9A"/>
    <w:rsid w:val="7A8A3DE2"/>
    <w:rsid w:val="7A9EA6C8"/>
    <w:rsid w:val="7B203823"/>
    <w:rsid w:val="7B3345F2"/>
    <w:rsid w:val="7BB0132A"/>
    <w:rsid w:val="7C2D99C2"/>
    <w:rsid w:val="7C57640D"/>
    <w:rsid w:val="7CB52414"/>
    <w:rsid w:val="7CD9A55A"/>
    <w:rsid w:val="7CEFB132"/>
    <w:rsid w:val="7D260C72"/>
    <w:rsid w:val="7D7D9522"/>
    <w:rsid w:val="7E1C7DEC"/>
    <w:rsid w:val="7E503858"/>
    <w:rsid w:val="7E709112"/>
    <w:rsid w:val="7EC2EFF0"/>
    <w:rsid w:val="7ED550C3"/>
    <w:rsid w:val="7EF57719"/>
    <w:rsid w:val="7F393E67"/>
    <w:rsid w:val="7FF7252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BDF81"/>
  <w15:chartTrackingRefBased/>
  <w15:docId w15:val="{BBB03715-932B-4188-96F8-2AA907E2E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943"/>
    <w:pPr>
      <w:spacing w:after="80" w:line="276" w:lineRule="auto"/>
    </w:pPr>
    <w:rPr>
      <w:rFonts w:ascii="Calibri" w:eastAsiaTheme="minorEastAsia" w:hAnsi="Calibri"/>
      <w:kern w:val="0"/>
      <w:sz w:val="19"/>
      <w:szCs w:val="22"/>
      <w:lang w:val="en-US"/>
      <w14:ligatures w14:val="none"/>
    </w:rPr>
  </w:style>
  <w:style w:type="paragraph" w:styleId="Heading1">
    <w:name w:val="heading 1"/>
    <w:basedOn w:val="Normal"/>
    <w:next w:val="Normal"/>
    <w:link w:val="Heading1Char"/>
    <w:uiPriority w:val="9"/>
    <w:qFormat/>
    <w:rsid w:val="005D3508"/>
    <w:pPr>
      <w:keepNext/>
      <w:keepLines/>
      <w:spacing w:before="360" w:after="400"/>
      <w:outlineLvl w:val="0"/>
    </w:pPr>
    <w:rPr>
      <w:rFonts w:eastAsiaTheme="majorEastAsia" w:cstheme="majorBidi"/>
      <w:b/>
      <w:bCs/>
      <w:color w:val="057A95"/>
      <w:sz w:val="40"/>
      <w:szCs w:val="40"/>
    </w:rPr>
  </w:style>
  <w:style w:type="paragraph" w:styleId="Heading2">
    <w:name w:val="heading 2"/>
    <w:basedOn w:val="Normal"/>
    <w:next w:val="Normal"/>
    <w:link w:val="Heading2Char"/>
    <w:uiPriority w:val="9"/>
    <w:unhideWhenUsed/>
    <w:qFormat/>
    <w:rsid w:val="00CD692F"/>
    <w:pPr>
      <w:keepNext/>
      <w:keepLines/>
      <w:spacing w:before="360"/>
      <w:outlineLvl w:val="1"/>
    </w:pPr>
    <w:rPr>
      <w:rFonts w:eastAsiaTheme="majorEastAsia" w:cstheme="majorBidi"/>
      <w:b/>
      <w:bCs/>
      <w:color w:val="082F4C" w:themeColor="text2"/>
      <w:sz w:val="32"/>
      <w:szCs w:val="32"/>
    </w:rPr>
  </w:style>
  <w:style w:type="paragraph" w:styleId="Heading3">
    <w:name w:val="heading 3"/>
    <w:basedOn w:val="Normal"/>
    <w:next w:val="Normal"/>
    <w:link w:val="Heading3Char"/>
    <w:uiPriority w:val="9"/>
    <w:unhideWhenUsed/>
    <w:qFormat/>
    <w:rsid w:val="00CD692F"/>
    <w:pPr>
      <w:keepNext/>
      <w:keepLines/>
      <w:spacing w:before="240"/>
      <w:outlineLvl w:val="2"/>
    </w:pPr>
    <w:rPr>
      <w:rFonts w:eastAsiaTheme="majorEastAsia" w:cstheme="majorBidi"/>
      <w:b/>
      <w:bCs/>
      <w:color w:val="057995" w:themeColor="text1"/>
      <w:sz w:val="24"/>
      <w:szCs w:val="24"/>
    </w:rPr>
  </w:style>
  <w:style w:type="paragraph" w:styleId="Heading4">
    <w:name w:val="heading 4"/>
    <w:basedOn w:val="Heading5"/>
    <w:next w:val="Normal"/>
    <w:link w:val="Heading4Char"/>
    <w:uiPriority w:val="9"/>
    <w:unhideWhenUsed/>
    <w:qFormat/>
    <w:rsid w:val="005D3508"/>
    <w:pPr>
      <w:outlineLvl w:val="3"/>
    </w:pPr>
    <w:rPr>
      <w:b w:val="0"/>
      <w:bCs w:val="0"/>
      <w:i/>
      <w:iCs/>
      <w:color w:val="057A95"/>
    </w:rPr>
  </w:style>
  <w:style w:type="paragraph" w:styleId="Heading5">
    <w:name w:val="heading 5"/>
    <w:basedOn w:val="Normal"/>
    <w:next w:val="Normal"/>
    <w:link w:val="Heading5Char"/>
    <w:uiPriority w:val="9"/>
    <w:unhideWhenUsed/>
    <w:qFormat/>
    <w:rsid w:val="005D3508"/>
    <w:pPr>
      <w:keepNext/>
      <w:keepLines/>
      <w:spacing w:before="80" w:after="40"/>
      <w:outlineLvl w:val="4"/>
    </w:pPr>
    <w:rPr>
      <w:rFonts w:eastAsiaTheme="majorEastAsia" w:cstheme="majorBidi"/>
      <w:b/>
      <w:bCs/>
      <w:color w:val="082F4C" w:themeColor="text2"/>
    </w:rPr>
  </w:style>
  <w:style w:type="paragraph" w:styleId="Heading6">
    <w:name w:val="heading 6"/>
    <w:basedOn w:val="Heading5"/>
    <w:next w:val="Normal"/>
    <w:link w:val="Heading6Char"/>
    <w:uiPriority w:val="9"/>
    <w:unhideWhenUsed/>
    <w:qFormat/>
    <w:rsid w:val="005D3508"/>
    <w:pPr>
      <w:outlineLvl w:val="5"/>
    </w:pPr>
  </w:style>
  <w:style w:type="paragraph" w:styleId="Heading7">
    <w:name w:val="heading 7"/>
    <w:basedOn w:val="Normal"/>
    <w:next w:val="Normal"/>
    <w:link w:val="Heading7Char"/>
    <w:uiPriority w:val="9"/>
    <w:unhideWhenUsed/>
    <w:qFormat/>
    <w:rsid w:val="00FF270B"/>
    <w:pPr>
      <w:keepNext/>
      <w:keepLines/>
      <w:spacing w:before="40"/>
      <w:outlineLvl w:val="6"/>
    </w:pPr>
    <w:rPr>
      <w:rFonts w:eastAsiaTheme="majorEastAsia" w:cstheme="majorBidi"/>
      <w:color w:val="057995" w:themeColor="text1"/>
    </w:rPr>
  </w:style>
  <w:style w:type="paragraph" w:styleId="Heading8">
    <w:name w:val="heading 8"/>
    <w:basedOn w:val="Heading7"/>
    <w:next w:val="Normal"/>
    <w:link w:val="Heading8Char"/>
    <w:uiPriority w:val="9"/>
    <w:unhideWhenUsed/>
    <w:qFormat/>
    <w:rsid w:val="005D3508"/>
    <w:pPr>
      <w:outlineLvl w:val="7"/>
    </w:pPr>
  </w:style>
  <w:style w:type="paragraph" w:styleId="Heading9">
    <w:name w:val="heading 9"/>
    <w:basedOn w:val="Heading8"/>
    <w:next w:val="Normal"/>
    <w:link w:val="Heading9Char"/>
    <w:uiPriority w:val="9"/>
    <w:unhideWhenUsed/>
    <w:qFormat/>
    <w:rsid w:val="005D350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595"/>
    <w:pPr>
      <w:tabs>
        <w:tab w:val="center" w:pos="4513"/>
        <w:tab w:val="right" w:pos="9026"/>
      </w:tabs>
      <w:spacing w:after="0"/>
    </w:pPr>
  </w:style>
  <w:style w:type="character" w:customStyle="1" w:styleId="HeaderChar">
    <w:name w:val="Header Char"/>
    <w:basedOn w:val="DefaultParagraphFont"/>
    <w:link w:val="Header"/>
    <w:uiPriority w:val="99"/>
    <w:rsid w:val="00EF5595"/>
    <w:rPr>
      <w:rFonts w:eastAsiaTheme="minorEastAsia" w:cs="Gotham-Book"/>
      <w:color w:val="515151"/>
      <w:kern w:val="24"/>
      <w:sz w:val="22"/>
      <w:szCs w:val="22"/>
      <w:lang w:val="en-US" w:eastAsia="ja-JP"/>
      <w14:ligatures w14:val="none"/>
    </w:rPr>
  </w:style>
  <w:style w:type="character" w:customStyle="1" w:styleId="Heading1Char">
    <w:name w:val="Heading 1 Char"/>
    <w:basedOn w:val="DefaultParagraphFont"/>
    <w:link w:val="Heading1"/>
    <w:uiPriority w:val="9"/>
    <w:rsid w:val="005D3508"/>
    <w:rPr>
      <w:rFonts w:ascii="Aptos" w:eastAsiaTheme="majorEastAsia" w:hAnsi="Aptos" w:cstheme="majorBidi"/>
      <w:b/>
      <w:bCs/>
      <w:color w:val="057A95"/>
      <w:kern w:val="0"/>
      <w:sz w:val="40"/>
      <w:szCs w:val="40"/>
      <w14:ligatures w14:val="none"/>
    </w:rPr>
  </w:style>
  <w:style w:type="character" w:customStyle="1" w:styleId="Heading2Char">
    <w:name w:val="Heading 2 Char"/>
    <w:basedOn w:val="DefaultParagraphFont"/>
    <w:link w:val="Heading2"/>
    <w:uiPriority w:val="9"/>
    <w:rsid w:val="00CD692F"/>
    <w:rPr>
      <w:rFonts w:eastAsiaTheme="majorEastAsia" w:cstheme="majorBidi"/>
      <w:b/>
      <w:bCs/>
      <w:color w:val="082F4C" w:themeColor="text2"/>
      <w:kern w:val="24"/>
      <w:sz w:val="32"/>
      <w:szCs w:val="32"/>
      <w:lang w:val="en-US" w:eastAsia="ja-JP"/>
      <w14:ligatures w14:val="none"/>
    </w:rPr>
  </w:style>
  <w:style w:type="character" w:customStyle="1" w:styleId="Heading3Char">
    <w:name w:val="Heading 3 Char"/>
    <w:basedOn w:val="DefaultParagraphFont"/>
    <w:link w:val="Heading3"/>
    <w:uiPriority w:val="9"/>
    <w:rsid w:val="00CD692F"/>
    <w:rPr>
      <w:rFonts w:eastAsiaTheme="majorEastAsia" w:cstheme="majorBidi"/>
      <w:b/>
      <w:bCs/>
      <w:color w:val="057995" w:themeColor="text1"/>
      <w:kern w:val="24"/>
      <w:lang w:val="en-US" w:eastAsia="ja-JP"/>
      <w14:ligatures w14:val="none"/>
    </w:rPr>
  </w:style>
  <w:style w:type="character" w:customStyle="1" w:styleId="Heading4Char">
    <w:name w:val="Heading 4 Char"/>
    <w:basedOn w:val="DefaultParagraphFont"/>
    <w:link w:val="Heading4"/>
    <w:uiPriority w:val="9"/>
    <w:rsid w:val="005D3508"/>
    <w:rPr>
      <w:rFonts w:eastAsiaTheme="majorEastAsia" w:cstheme="majorBidi"/>
      <w:i/>
      <w:iCs/>
      <w:color w:val="057A95"/>
      <w:kern w:val="0"/>
      <w:sz w:val="22"/>
      <w:szCs w:val="22"/>
      <w14:ligatures w14:val="none"/>
    </w:rPr>
  </w:style>
  <w:style w:type="character" w:customStyle="1" w:styleId="Heading5Char">
    <w:name w:val="Heading 5 Char"/>
    <w:basedOn w:val="DefaultParagraphFont"/>
    <w:link w:val="Heading5"/>
    <w:uiPriority w:val="9"/>
    <w:rsid w:val="005D3508"/>
    <w:rPr>
      <w:rFonts w:eastAsiaTheme="majorEastAsia" w:cstheme="majorBidi"/>
      <w:b/>
      <w:bCs/>
      <w:color w:val="082F4C" w:themeColor="text2"/>
      <w:kern w:val="0"/>
      <w:sz w:val="22"/>
      <w:szCs w:val="22"/>
      <w14:ligatures w14:val="none"/>
    </w:rPr>
  </w:style>
  <w:style w:type="character" w:customStyle="1" w:styleId="Heading6Char">
    <w:name w:val="Heading 6 Char"/>
    <w:basedOn w:val="DefaultParagraphFont"/>
    <w:link w:val="Heading6"/>
    <w:uiPriority w:val="9"/>
    <w:rsid w:val="005D3508"/>
    <w:rPr>
      <w:rFonts w:eastAsiaTheme="majorEastAsia" w:cstheme="majorBidi"/>
      <w:b/>
      <w:bCs/>
      <w:color w:val="082F4C" w:themeColor="text2"/>
      <w:kern w:val="24"/>
      <w:sz w:val="22"/>
      <w:szCs w:val="22"/>
      <w:lang w:val="en-US" w:eastAsia="ja-JP"/>
      <w14:ligatures w14:val="none"/>
    </w:rPr>
  </w:style>
  <w:style w:type="character" w:customStyle="1" w:styleId="Heading7Char">
    <w:name w:val="Heading 7 Char"/>
    <w:basedOn w:val="DefaultParagraphFont"/>
    <w:link w:val="Heading7"/>
    <w:uiPriority w:val="9"/>
    <w:rsid w:val="00FF270B"/>
    <w:rPr>
      <w:rFonts w:eastAsiaTheme="majorEastAsia" w:cstheme="majorBidi"/>
      <w:color w:val="057995" w:themeColor="text1"/>
      <w:kern w:val="24"/>
      <w:sz w:val="22"/>
      <w:szCs w:val="22"/>
      <w:lang w:val="en-US" w:eastAsia="ja-JP"/>
      <w14:ligatures w14:val="none"/>
    </w:rPr>
  </w:style>
  <w:style w:type="character" w:customStyle="1" w:styleId="Heading8Char">
    <w:name w:val="Heading 8 Char"/>
    <w:basedOn w:val="DefaultParagraphFont"/>
    <w:link w:val="Heading8"/>
    <w:uiPriority w:val="9"/>
    <w:rsid w:val="005D3508"/>
    <w:rPr>
      <w:rFonts w:eastAsiaTheme="majorEastAsia" w:cstheme="majorBidi"/>
      <w:color w:val="1ECCF7" w:themeColor="text1" w:themeTint="A6"/>
      <w:kern w:val="24"/>
      <w:sz w:val="22"/>
      <w:szCs w:val="22"/>
      <w:lang w:val="en-US" w:eastAsia="ja-JP"/>
      <w14:ligatures w14:val="none"/>
    </w:rPr>
  </w:style>
  <w:style w:type="character" w:customStyle="1" w:styleId="Heading9Char">
    <w:name w:val="Heading 9 Char"/>
    <w:basedOn w:val="DefaultParagraphFont"/>
    <w:link w:val="Heading9"/>
    <w:uiPriority w:val="9"/>
    <w:rsid w:val="005D3508"/>
    <w:rPr>
      <w:rFonts w:eastAsiaTheme="majorEastAsia" w:cstheme="majorBidi"/>
      <w:color w:val="1ECCF7" w:themeColor="text1" w:themeTint="A6"/>
      <w:kern w:val="24"/>
      <w:sz w:val="22"/>
      <w:szCs w:val="22"/>
      <w:lang w:val="en-US" w:eastAsia="ja-JP"/>
      <w14:ligatures w14:val="none"/>
    </w:rPr>
  </w:style>
  <w:style w:type="paragraph" w:styleId="Title">
    <w:name w:val="Title"/>
    <w:basedOn w:val="Heading1"/>
    <w:next w:val="Normal"/>
    <w:link w:val="TitleChar"/>
    <w:uiPriority w:val="10"/>
    <w:qFormat/>
    <w:rsid w:val="005D3508"/>
    <w:rPr>
      <w:color w:val="082F4C" w:themeColor="text2"/>
      <w:sz w:val="52"/>
    </w:rPr>
  </w:style>
  <w:style w:type="character" w:customStyle="1" w:styleId="TitleChar">
    <w:name w:val="Title Char"/>
    <w:basedOn w:val="DefaultParagraphFont"/>
    <w:link w:val="Title"/>
    <w:uiPriority w:val="10"/>
    <w:rsid w:val="005D3508"/>
    <w:rPr>
      <w:rFonts w:eastAsiaTheme="majorEastAsia" w:cstheme="majorBidi"/>
      <w:b/>
      <w:bCs/>
      <w:color w:val="082F4C" w:themeColor="text2"/>
      <w:kern w:val="24"/>
      <w:sz w:val="52"/>
      <w:szCs w:val="40"/>
      <w:lang w:val="en-US" w:eastAsia="ja-JP"/>
      <w14:ligatures w14:val="none"/>
    </w:rPr>
  </w:style>
  <w:style w:type="paragraph" w:styleId="Subtitle">
    <w:name w:val="Subtitle"/>
    <w:basedOn w:val="LPLCBodyText"/>
    <w:next w:val="Normal"/>
    <w:link w:val="SubtitleChar"/>
    <w:uiPriority w:val="11"/>
    <w:qFormat/>
    <w:rsid w:val="004C518A"/>
    <w:pPr>
      <w:pBdr>
        <w:bottom w:val="single" w:sz="4" w:space="1" w:color="DFDCD9"/>
      </w:pBdr>
    </w:pPr>
    <w:rPr>
      <w:rFonts w:ascii="Aptos SemiBold" w:hAnsi="Aptos SemiBold"/>
      <w:b/>
      <w:bCs/>
      <w:color w:val="057A95"/>
      <w:sz w:val="24"/>
      <w:szCs w:val="24"/>
    </w:rPr>
  </w:style>
  <w:style w:type="character" w:customStyle="1" w:styleId="SubtitleChar">
    <w:name w:val="Subtitle Char"/>
    <w:basedOn w:val="DefaultParagraphFont"/>
    <w:link w:val="Subtitle"/>
    <w:uiPriority w:val="11"/>
    <w:rsid w:val="004C518A"/>
    <w:rPr>
      <w:rFonts w:ascii="Aptos SemiBold" w:eastAsiaTheme="minorEastAsia" w:hAnsi="Aptos SemiBold" w:cs="Gotham-Book"/>
      <w:b/>
      <w:bCs/>
      <w:color w:val="057A95"/>
      <w:kern w:val="24"/>
      <w:lang w:val="en-US" w:eastAsia="ja-JP"/>
      <w14:ligatures w14:val="none"/>
    </w:rPr>
  </w:style>
  <w:style w:type="paragraph" w:styleId="Quote">
    <w:name w:val="Quote"/>
    <w:basedOn w:val="Normal"/>
    <w:next w:val="Normal"/>
    <w:link w:val="QuoteChar"/>
    <w:uiPriority w:val="29"/>
    <w:qFormat/>
    <w:rsid w:val="00224A89"/>
    <w:pPr>
      <w:spacing w:before="160" w:after="160"/>
      <w:jc w:val="center"/>
    </w:pPr>
    <w:rPr>
      <w:i/>
      <w:iCs/>
      <w:color w:val="057995" w:themeColor="accent5"/>
    </w:rPr>
  </w:style>
  <w:style w:type="character" w:customStyle="1" w:styleId="QuoteChar">
    <w:name w:val="Quote Char"/>
    <w:basedOn w:val="DefaultParagraphFont"/>
    <w:link w:val="Quote"/>
    <w:uiPriority w:val="29"/>
    <w:rsid w:val="00224A89"/>
    <w:rPr>
      <w:rFonts w:eastAsiaTheme="minorEastAsia" w:cs="Gotham-Book"/>
      <w:i/>
      <w:iCs/>
      <w:color w:val="057995" w:themeColor="accent5"/>
      <w:kern w:val="24"/>
      <w:sz w:val="22"/>
      <w:szCs w:val="22"/>
      <w:lang w:val="en-US" w:eastAsia="ja-JP"/>
      <w14:ligatures w14:val="none"/>
    </w:rPr>
  </w:style>
  <w:style w:type="paragraph" w:styleId="ListParagraph">
    <w:name w:val="List Paragraph"/>
    <w:basedOn w:val="Normal"/>
    <w:uiPriority w:val="34"/>
    <w:qFormat/>
    <w:rsid w:val="00CD692F"/>
    <w:pPr>
      <w:numPr>
        <w:numId w:val="2"/>
      </w:numPr>
      <w:spacing w:before="120"/>
    </w:pPr>
  </w:style>
  <w:style w:type="character" w:styleId="IntenseEmphasis">
    <w:name w:val="Intense Emphasis"/>
    <w:basedOn w:val="DefaultParagraphFont"/>
    <w:uiPriority w:val="21"/>
    <w:qFormat/>
    <w:rsid w:val="00D27862"/>
    <w:rPr>
      <w:i/>
      <w:iCs/>
      <w:color w:val="035A6F" w:themeColor="accent1" w:themeShade="BF"/>
    </w:rPr>
  </w:style>
  <w:style w:type="paragraph" w:styleId="IntenseQuote">
    <w:name w:val="Intense Quote"/>
    <w:basedOn w:val="Normal"/>
    <w:next w:val="Normal"/>
    <w:link w:val="IntenseQuoteChar"/>
    <w:uiPriority w:val="30"/>
    <w:qFormat/>
    <w:rsid w:val="00224A89"/>
    <w:pPr>
      <w:pBdr>
        <w:top w:val="single" w:sz="4" w:space="10" w:color="035A6F" w:themeColor="accent1" w:themeShade="BF"/>
        <w:bottom w:val="single" w:sz="4" w:space="10" w:color="035A6F" w:themeColor="accent1" w:themeShade="BF"/>
      </w:pBdr>
      <w:spacing w:before="360" w:after="360"/>
      <w:ind w:left="864" w:right="864"/>
      <w:jc w:val="center"/>
    </w:pPr>
    <w:rPr>
      <w:i/>
      <w:iCs/>
      <w:color w:val="082F4C" w:themeColor="accent2"/>
    </w:rPr>
  </w:style>
  <w:style w:type="character" w:customStyle="1" w:styleId="IntenseQuoteChar">
    <w:name w:val="Intense Quote Char"/>
    <w:basedOn w:val="DefaultParagraphFont"/>
    <w:link w:val="IntenseQuote"/>
    <w:uiPriority w:val="30"/>
    <w:rsid w:val="00224A89"/>
    <w:rPr>
      <w:rFonts w:eastAsiaTheme="minorEastAsia" w:cs="Gotham-Book"/>
      <w:i/>
      <w:iCs/>
      <w:color w:val="082F4C" w:themeColor="accent2"/>
      <w:kern w:val="24"/>
      <w:sz w:val="22"/>
      <w:szCs w:val="22"/>
      <w:lang w:val="en-US" w:eastAsia="ja-JP"/>
      <w14:ligatures w14:val="none"/>
    </w:rPr>
  </w:style>
  <w:style w:type="character" w:styleId="BookTitle">
    <w:name w:val="Book Title"/>
    <w:basedOn w:val="DefaultParagraphFont"/>
    <w:uiPriority w:val="33"/>
    <w:qFormat/>
    <w:rsid w:val="00224A89"/>
    <w:rPr>
      <w:b/>
      <w:bCs/>
      <w:i/>
      <w:iCs/>
      <w:spacing w:val="5"/>
    </w:rPr>
  </w:style>
  <w:style w:type="paragraph" w:customStyle="1" w:styleId="OFFICIAL">
    <w:name w:val="OFFICIAL"/>
    <w:basedOn w:val="Normal"/>
    <w:qFormat/>
    <w:rsid w:val="00EF5595"/>
    <w:rPr>
      <w:rFonts w:eastAsia="Calibri"/>
      <w:noProof/>
      <w:color w:val="A31D49" w:themeColor="accent3"/>
    </w:rPr>
  </w:style>
  <w:style w:type="paragraph" w:styleId="TOC1">
    <w:name w:val="toc 1"/>
    <w:basedOn w:val="Normal"/>
    <w:next w:val="Normal"/>
    <w:autoRedefine/>
    <w:uiPriority w:val="39"/>
    <w:unhideWhenUsed/>
    <w:rsid w:val="00EF5595"/>
    <w:pPr>
      <w:spacing w:after="100"/>
    </w:pPr>
  </w:style>
  <w:style w:type="paragraph" w:styleId="Footer">
    <w:name w:val="footer"/>
    <w:basedOn w:val="6LPLCFooter"/>
    <w:link w:val="FooterChar"/>
    <w:uiPriority w:val="99"/>
    <w:unhideWhenUsed/>
    <w:rsid w:val="00A140EE"/>
    <w:rPr>
      <w:lang w:val="en-AU"/>
    </w:rPr>
  </w:style>
  <w:style w:type="character" w:customStyle="1" w:styleId="FooterChar">
    <w:name w:val="Footer Char"/>
    <w:basedOn w:val="DefaultParagraphFont"/>
    <w:link w:val="Footer"/>
    <w:uiPriority w:val="99"/>
    <w:rsid w:val="00A140EE"/>
    <w:rPr>
      <w:rFonts w:ascii="Aptos" w:hAnsi="Aptos"/>
      <w:color w:val="007A95"/>
      <w:kern w:val="0"/>
      <w:sz w:val="16"/>
      <w:szCs w:val="16"/>
      <w14:ligatures w14:val="none"/>
    </w:rPr>
  </w:style>
  <w:style w:type="paragraph" w:customStyle="1" w:styleId="LPLCBodyText">
    <w:name w:val="LPLC Body Text"/>
    <w:basedOn w:val="Normal"/>
    <w:link w:val="LPLCBodyTextChar"/>
    <w:qFormat/>
    <w:rsid w:val="005D3508"/>
  </w:style>
  <w:style w:type="character" w:customStyle="1" w:styleId="LPLCBodyTextChar">
    <w:name w:val="LPLC Body Text Char"/>
    <w:basedOn w:val="DefaultParagraphFont"/>
    <w:link w:val="LPLCBodyText"/>
    <w:rsid w:val="005D3508"/>
    <w:rPr>
      <w:rFonts w:eastAsiaTheme="minorEastAsia" w:cs="Gotham-Book"/>
      <w:color w:val="515151"/>
      <w:kern w:val="24"/>
      <w:sz w:val="22"/>
      <w:szCs w:val="22"/>
      <w:lang w:val="en-US" w:eastAsia="ja-JP"/>
      <w14:ligatures w14:val="none"/>
    </w:rPr>
  </w:style>
  <w:style w:type="paragraph" w:styleId="NoSpacing">
    <w:name w:val="No Spacing"/>
    <w:uiPriority w:val="1"/>
    <w:qFormat/>
    <w:rsid w:val="005D3508"/>
    <w:pPr>
      <w:widowControl w:val="0"/>
      <w:autoSpaceDE w:val="0"/>
      <w:autoSpaceDN w:val="0"/>
      <w:adjustRightInd w:val="0"/>
      <w:spacing w:after="0" w:line="240" w:lineRule="auto"/>
      <w:textAlignment w:val="center"/>
    </w:pPr>
    <w:rPr>
      <w:rFonts w:eastAsiaTheme="minorEastAsia" w:cs="Gotham-Book"/>
      <w:color w:val="515151"/>
      <w:kern w:val="24"/>
      <w:sz w:val="22"/>
      <w:szCs w:val="22"/>
      <w:shd w:val="clear" w:color="auto" w:fill="FFFFFF"/>
      <w:lang w:val="en-US" w:eastAsia="ja-JP"/>
      <w14:ligatures w14:val="none"/>
    </w:rPr>
  </w:style>
  <w:style w:type="table" w:customStyle="1" w:styleId="LPLCTable">
    <w:name w:val="LPLC Table"/>
    <w:basedOn w:val="TableNormal"/>
    <w:uiPriority w:val="99"/>
    <w:rsid w:val="00EA7922"/>
    <w:pPr>
      <w:spacing w:before="40" w:after="40" w:line="240" w:lineRule="auto"/>
    </w:pPr>
    <w:rPr>
      <w:rFonts w:ascii="Century Gothic" w:hAnsi="Century Gothic"/>
      <w:kern w:val="0"/>
      <w:sz w:val="22"/>
      <w:szCs w:val="22"/>
      <w14:ligatures w14:val="none"/>
    </w:rPr>
    <w:tblPr>
      <w:tblBorders>
        <w:top w:val="single" w:sz="4" w:space="0" w:color="00B4CD"/>
        <w:left w:val="single" w:sz="4" w:space="0" w:color="00B4CD"/>
        <w:bottom w:val="single" w:sz="4" w:space="0" w:color="00B4CD"/>
        <w:right w:val="single" w:sz="4" w:space="0" w:color="00B4CD"/>
        <w:insideH w:val="single" w:sz="4" w:space="0" w:color="00B4CD"/>
        <w:insideV w:val="single" w:sz="4" w:space="0" w:color="00B4CD"/>
      </w:tblBorders>
    </w:tblPr>
    <w:tblStylePr w:type="firstRow">
      <w:pPr>
        <w:wordWrap/>
        <w:spacing w:beforeLines="0" w:before="40" w:beforeAutospacing="0" w:afterLines="0" w:after="40" w:afterAutospacing="0" w:line="240" w:lineRule="auto"/>
        <w:contextualSpacing w:val="0"/>
        <w:jc w:val="left"/>
      </w:pPr>
      <w:rPr>
        <w:rFonts w:ascii="Aptos SemiBold" w:hAnsi="Aptos SemiBold"/>
        <w:b/>
        <w:color w:val="FFFEFF" w:themeColor="background1"/>
        <w:sz w:val="20"/>
      </w:rPr>
      <w:tblPr/>
      <w:tcPr>
        <w:tcBorders>
          <w:top w:val="single" w:sz="4" w:space="0" w:color="00B4CD"/>
          <w:left w:val="single" w:sz="4" w:space="0" w:color="00B4CD"/>
          <w:bottom w:val="single" w:sz="4" w:space="0" w:color="00B4CD"/>
          <w:right w:val="single" w:sz="4" w:space="0" w:color="00B4CD"/>
          <w:insideH w:val="single" w:sz="4" w:space="0" w:color="00B4CD"/>
          <w:insideV w:val="single" w:sz="4" w:space="0" w:color="00B4CD"/>
        </w:tcBorders>
        <w:shd w:val="clear" w:color="auto" w:fill="00B4CD"/>
      </w:tcPr>
    </w:tblStylePr>
  </w:style>
  <w:style w:type="character" w:styleId="UnresolvedMention">
    <w:name w:val="Unresolved Mention"/>
    <w:basedOn w:val="DefaultParagraphFont"/>
    <w:uiPriority w:val="99"/>
    <w:unhideWhenUsed/>
    <w:rsid w:val="00EF5595"/>
    <w:rPr>
      <w:color w:val="605E5C"/>
      <w:shd w:val="clear" w:color="auto" w:fill="E1DFDD"/>
    </w:rPr>
  </w:style>
  <w:style w:type="paragraph" w:customStyle="1" w:styleId="6LPLCFooter">
    <w:name w:val="6. LPLC Footer"/>
    <w:basedOn w:val="Normal"/>
    <w:qFormat/>
    <w:rsid w:val="005D3508"/>
    <w:pPr>
      <w:pBdr>
        <w:top w:val="single" w:sz="4" w:space="4" w:color="007A95"/>
      </w:pBdr>
    </w:pPr>
    <w:rPr>
      <w:color w:val="007A95"/>
      <w:sz w:val="16"/>
      <w:szCs w:val="16"/>
    </w:rPr>
  </w:style>
  <w:style w:type="paragraph" w:styleId="TOAHeading">
    <w:name w:val="toa heading"/>
    <w:basedOn w:val="Normal"/>
    <w:next w:val="Normal"/>
    <w:uiPriority w:val="99"/>
    <w:unhideWhenUsed/>
    <w:rsid w:val="00224A89"/>
    <w:pPr>
      <w:spacing w:before="120"/>
    </w:pPr>
    <w:rPr>
      <w:rFonts w:asciiTheme="majorHAnsi" w:eastAsiaTheme="majorEastAsia" w:hAnsiTheme="majorHAnsi" w:cstheme="majorBidi"/>
      <w:b/>
      <w:bCs/>
      <w:sz w:val="24"/>
      <w:szCs w:val="24"/>
    </w:rPr>
  </w:style>
  <w:style w:type="paragraph" w:styleId="TableofFigures">
    <w:name w:val="table of figures"/>
    <w:basedOn w:val="Normal"/>
    <w:next w:val="Normal"/>
    <w:uiPriority w:val="99"/>
    <w:unhideWhenUsed/>
    <w:rsid w:val="00EF5595"/>
    <w:pPr>
      <w:spacing w:after="0"/>
    </w:pPr>
  </w:style>
  <w:style w:type="paragraph" w:styleId="TableofAuthorities">
    <w:name w:val="table of authorities"/>
    <w:basedOn w:val="Normal"/>
    <w:next w:val="Normal"/>
    <w:uiPriority w:val="99"/>
    <w:unhideWhenUsed/>
    <w:rsid w:val="00EF5595"/>
    <w:pPr>
      <w:spacing w:after="0"/>
      <w:ind w:left="220" w:hanging="220"/>
    </w:pPr>
  </w:style>
  <w:style w:type="character" w:styleId="SmartLink">
    <w:name w:val="Smart Link"/>
    <w:basedOn w:val="DefaultParagraphFont"/>
    <w:uiPriority w:val="99"/>
    <w:unhideWhenUsed/>
    <w:rsid w:val="00EF5595"/>
    <w:rPr>
      <w:color w:val="0000FF"/>
      <w:u w:val="single"/>
      <w:shd w:val="clear" w:color="auto" w:fill="F3F2F1"/>
    </w:rPr>
  </w:style>
  <w:style w:type="character" w:styleId="SmartHyperlink">
    <w:name w:val="Smart Hyperlink"/>
    <w:basedOn w:val="DefaultParagraphFont"/>
    <w:uiPriority w:val="99"/>
    <w:unhideWhenUsed/>
    <w:rsid w:val="00EF5595"/>
    <w:rPr>
      <w:u w:val="dotted"/>
    </w:rPr>
  </w:style>
  <w:style w:type="paragraph" w:styleId="Signature">
    <w:name w:val="Signature"/>
    <w:basedOn w:val="Normal"/>
    <w:link w:val="SignatureChar"/>
    <w:uiPriority w:val="99"/>
    <w:unhideWhenUsed/>
    <w:rsid w:val="00EF5595"/>
    <w:pPr>
      <w:spacing w:after="0"/>
      <w:ind w:left="4252"/>
    </w:pPr>
  </w:style>
  <w:style w:type="character" w:customStyle="1" w:styleId="SignatureChar">
    <w:name w:val="Signature Char"/>
    <w:basedOn w:val="DefaultParagraphFont"/>
    <w:link w:val="Signature"/>
    <w:uiPriority w:val="99"/>
    <w:rsid w:val="00EF5595"/>
    <w:rPr>
      <w:rFonts w:eastAsiaTheme="minorEastAsia" w:cs="Gotham-Book"/>
      <w:color w:val="515151"/>
      <w:kern w:val="24"/>
      <w:sz w:val="22"/>
      <w:szCs w:val="22"/>
      <w:lang w:val="en-US" w:eastAsia="ja-JP"/>
      <w14:ligatures w14:val="none"/>
    </w:rPr>
  </w:style>
  <w:style w:type="paragraph" w:styleId="Salutation">
    <w:name w:val="Salutation"/>
    <w:basedOn w:val="Normal"/>
    <w:next w:val="Normal"/>
    <w:link w:val="SalutationChar"/>
    <w:uiPriority w:val="99"/>
    <w:unhideWhenUsed/>
    <w:rsid w:val="00224A89"/>
  </w:style>
  <w:style w:type="character" w:customStyle="1" w:styleId="SalutationChar">
    <w:name w:val="Salutation Char"/>
    <w:basedOn w:val="DefaultParagraphFont"/>
    <w:link w:val="Salutation"/>
    <w:uiPriority w:val="99"/>
    <w:rsid w:val="00224A89"/>
    <w:rPr>
      <w:rFonts w:eastAsiaTheme="minorEastAsia" w:cs="Gotham-Book"/>
      <w:color w:val="515151"/>
      <w:kern w:val="24"/>
      <w:sz w:val="22"/>
      <w:szCs w:val="22"/>
      <w:lang w:val="en-US" w:eastAsia="ja-JP"/>
      <w14:ligatures w14:val="none"/>
    </w:rPr>
  </w:style>
  <w:style w:type="paragraph" w:styleId="PlainText">
    <w:name w:val="Plain Text"/>
    <w:basedOn w:val="Normal"/>
    <w:link w:val="PlainTextChar"/>
    <w:uiPriority w:val="99"/>
    <w:unhideWhenUsed/>
    <w:rsid w:val="006E3FB2"/>
    <w:pPr>
      <w:spacing w:after="0"/>
    </w:pPr>
    <w:rPr>
      <w:rFonts w:ascii="Consolas" w:hAnsi="Consolas" w:cs="Consolas"/>
      <w:sz w:val="21"/>
      <w:szCs w:val="21"/>
    </w:rPr>
  </w:style>
  <w:style w:type="character" w:customStyle="1" w:styleId="PlainTextChar">
    <w:name w:val="Plain Text Char"/>
    <w:basedOn w:val="DefaultParagraphFont"/>
    <w:link w:val="PlainText"/>
    <w:uiPriority w:val="99"/>
    <w:rsid w:val="006E3FB2"/>
    <w:rPr>
      <w:rFonts w:ascii="Consolas" w:eastAsiaTheme="minorEastAsia" w:hAnsi="Consolas" w:cs="Consolas"/>
      <w:color w:val="515151"/>
      <w:kern w:val="24"/>
      <w:sz w:val="21"/>
      <w:szCs w:val="21"/>
      <w:lang w:val="en-US" w:eastAsia="ja-JP"/>
      <w14:ligatures w14:val="none"/>
    </w:rPr>
  </w:style>
  <w:style w:type="character" w:styleId="PlaceholderText">
    <w:name w:val="Placeholder Text"/>
    <w:basedOn w:val="DefaultParagraphFont"/>
    <w:uiPriority w:val="99"/>
    <w:semiHidden/>
    <w:rsid w:val="006E3FB2"/>
    <w:rPr>
      <w:color w:val="666666"/>
    </w:rPr>
  </w:style>
  <w:style w:type="character" w:styleId="PageNumber">
    <w:name w:val="page number"/>
    <w:uiPriority w:val="99"/>
    <w:unhideWhenUsed/>
    <w:rsid w:val="00224A89"/>
  </w:style>
  <w:style w:type="paragraph" w:styleId="NoteHeading">
    <w:name w:val="Note Heading"/>
    <w:basedOn w:val="Normal"/>
    <w:next w:val="Normal"/>
    <w:link w:val="NoteHeadingChar"/>
    <w:uiPriority w:val="99"/>
    <w:unhideWhenUsed/>
    <w:rsid w:val="006E3FB2"/>
    <w:pPr>
      <w:spacing w:after="0"/>
    </w:pPr>
  </w:style>
  <w:style w:type="character" w:customStyle="1" w:styleId="NoteHeadingChar">
    <w:name w:val="Note Heading Char"/>
    <w:basedOn w:val="DefaultParagraphFont"/>
    <w:link w:val="NoteHeading"/>
    <w:uiPriority w:val="99"/>
    <w:rsid w:val="006E3FB2"/>
    <w:rPr>
      <w:rFonts w:eastAsiaTheme="minorEastAsia" w:cs="Gotham-Book"/>
      <w:color w:val="515151"/>
      <w:kern w:val="24"/>
      <w:sz w:val="22"/>
      <w:szCs w:val="22"/>
      <w:lang w:val="en-US" w:eastAsia="ja-JP"/>
      <w14:ligatures w14:val="none"/>
    </w:rPr>
  </w:style>
  <w:style w:type="paragraph" w:styleId="NormalIndent">
    <w:name w:val="Normal Indent"/>
    <w:basedOn w:val="Normal"/>
    <w:uiPriority w:val="99"/>
    <w:unhideWhenUsed/>
    <w:rsid w:val="006E3FB2"/>
    <w:pPr>
      <w:ind w:left="720"/>
    </w:pPr>
  </w:style>
  <w:style w:type="paragraph" w:styleId="MacroText">
    <w:name w:val="macro"/>
    <w:link w:val="MacroTextChar"/>
    <w:uiPriority w:val="99"/>
    <w:unhideWhenUsed/>
    <w:rsid w:val="006E3FB2"/>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textAlignment w:val="center"/>
    </w:pPr>
    <w:rPr>
      <w:rFonts w:ascii="Consolas" w:eastAsiaTheme="minorEastAsia" w:hAnsi="Consolas" w:cs="Consolas"/>
      <w:color w:val="515151"/>
      <w:kern w:val="24"/>
      <w:sz w:val="20"/>
      <w:szCs w:val="20"/>
      <w:shd w:val="clear" w:color="auto" w:fill="FFFFFF"/>
      <w:lang w:val="en-US" w:eastAsia="ja-JP"/>
      <w14:ligatures w14:val="none"/>
    </w:rPr>
  </w:style>
  <w:style w:type="character" w:customStyle="1" w:styleId="MacroTextChar">
    <w:name w:val="Macro Text Char"/>
    <w:basedOn w:val="DefaultParagraphFont"/>
    <w:link w:val="MacroText"/>
    <w:uiPriority w:val="99"/>
    <w:rsid w:val="006E3FB2"/>
    <w:rPr>
      <w:rFonts w:ascii="Consolas" w:eastAsiaTheme="minorEastAsia" w:hAnsi="Consolas" w:cs="Consolas"/>
      <w:color w:val="515151"/>
      <w:kern w:val="24"/>
      <w:sz w:val="20"/>
      <w:szCs w:val="20"/>
      <w:lang w:val="en-US" w:eastAsia="ja-JP"/>
      <w14:ligatures w14:val="none"/>
    </w:rPr>
  </w:style>
  <w:style w:type="paragraph" w:styleId="ListNumber5">
    <w:name w:val="List Number 5"/>
    <w:basedOn w:val="Normal"/>
    <w:uiPriority w:val="99"/>
    <w:unhideWhenUsed/>
    <w:rsid w:val="006E3FB2"/>
    <w:pPr>
      <w:numPr>
        <w:numId w:val="3"/>
      </w:numPr>
      <w:contextualSpacing/>
    </w:pPr>
  </w:style>
  <w:style w:type="paragraph" w:styleId="ListNumber4">
    <w:name w:val="List Number 4"/>
    <w:basedOn w:val="Normal"/>
    <w:uiPriority w:val="99"/>
    <w:unhideWhenUsed/>
    <w:rsid w:val="006E3FB2"/>
    <w:pPr>
      <w:numPr>
        <w:numId w:val="4"/>
      </w:numPr>
      <w:contextualSpacing/>
    </w:pPr>
  </w:style>
  <w:style w:type="paragraph" w:styleId="ListNumber">
    <w:name w:val="List Number"/>
    <w:basedOn w:val="Normal"/>
    <w:uiPriority w:val="99"/>
    <w:unhideWhenUsed/>
    <w:rsid w:val="006E3FB2"/>
    <w:pPr>
      <w:numPr>
        <w:numId w:val="5"/>
      </w:numPr>
      <w:contextualSpacing/>
    </w:pPr>
  </w:style>
  <w:style w:type="paragraph" w:styleId="ListBullet">
    <w:name w:val="List Bullet"/>
    <w:basedOn w:val="Normal"/>
    <w:uiPriority w:val="99"/>
    <w:unhideWhenUsed/>
    <w:rsid w:val="006E3FB2"/>
    <w:pPr>
      <w:numPr>
        <w:numId w:val="6"/>
      </w:numPr>
      <w:contextualSpacing/>
    </w:pPr>
  </w:style>
  <w:style w:type="character" w:styleId="LineNumber">
    <w:name w:val="line number"/>
    <w:basedOn w:val="DefaultParagraphFont"/>
    <w:uiPriority w:val="99"/>
    <w:unhideWhenUsed/>
    <w:rsid w:val="006E3FB2"/>
  </w:style>
  <w:style w:type="paragraph" w:styleId="Index1">
    <w:name w:val="index 1"/>
    <w:basedOn w:val="Normal"/>
    <w:next w:val="Normal"/>
    <w:autoRedefine/>
    <w:uiPriority w:val="99"/>
    <w:semiHidden/>
    <w:unhideWhenUsed/>
    <w:rsid w:val="006E3FB2"/>
    <w:pPr>
      <w:spacing w:after="0"/>
      <w:ind w:left="220" w:hanging="220"/>
    </w:pPr>
  </w:style>
  <w:style w:type="paragraph" w:styleId="IndexHeading">
    <w:name w:val="index heading"/>
    <w:basedOn w:val="Normal"/>
    <w:next w:val="Index1"/>
    <w:uiPriority w:val="99"/>
    <w:unhideWhenUsed/>
    <w:rsid w:val="006E3FB2"/>
    <w:rPr>
      <w:rFonts w:asciiTheme="majorHAnsi" w:eastAsiaTheme="majorEastAsia" w:hAnsiTheme="majorHAnsi" w:cstheme="majorBidi"/>
      <w:b/>
      <w:bCs/>
    </w:rPr>
  </w:style>
  <w:style w:type="paragraph" w:styleId="List">
    <w:name w:val="List"/>
    <w:basedOn w:val="Normal"/>
    <w:uiPriority w:val="99"/>
    <w:unhideWhenUsed/>
    <w:rsid w:val="006E3FB2"/>
    <w:pPr>
      <w:ind w:left="283" w:hanging="283"/>
      <w:contextualSpacing/>
    </w:pPr>
  </w:style>
  <w:style w:type="paragraph" w:styleId="List2">
    <w:name w:val="List 2"/>
    <w:basedOn w:val="Normal"/>
    <w:uiPriority w:val="99"/>
    <w:unhideWhenUsed/>
    <w:rsid w:val="006E3FB2"/>
    <w:pPr>
      <w:ind w:left="566" w:hanging="283"/>
      <w:contextualSpacing/>
    </w:pPr>
  </w:style>
  <w:style w:type="paragraph" w:styleId="List3">
    <w:name w:val="List 3"/>
    <w:basedOn w:val="Normal"/>
    <w:uiPriority w:val="99"/>
    <w:unhideWhenUsed/>
    <w:rsid w:val="006E3FB2"/>
    <w:pPr>
      <w:ind w:left="849" w:hanging="283"/>
      <w:contextualSpacing/>
    </w:pPr>
  </w:style>
  <w:style w:type="paragraph" w:styleId="List4">
    <w:name w:val="List 4"/>
    <w:basedOn w:val="Normal"/>
    <w:uiPriority w:val="99"/>
    <w:unhideWhenUsed/>
    <w:rsid w:val="006E3FB2"/>
    <w:pPr>
      <w:ind w:left="1132" w:hanging="283"/>
      <w:contextualSpacing/>
    </w:pPr>
  </w:style>
  <w:style w:type="paragraph" w:styleId="List5">
    <w:name w:val="List 5"/>
    <w:basedOn w:val="Normal"/>
    <w:uiPriority w:val="99"/>
    <w:unhideWhenUsed/>
    <w:rsid w:val="006E3FB2"/>
    <w:pPr>
      <w:ind w:left="1415" w:hanging="283"/>
      <w:contextualSpacing/>
    </w:pPr>
  </w:style>
  <w:style w:type="paragraph" w:styleId="ListBullet2">
    <w:name w:val="List Bullet 2"/>
    <w:basedOn w:val="Normal"/>
    <w:uiPriority w:val="99"/>
    <w:unhideWhenUsed/>
    <w:rsid w:val="006E3FB2"/>
    <w:pPr>
      <w:numPr>
        <w:numId w:val="7"/>
      </w:numPr>
      <w:contextualSpacing/>
    </w:pPr>
  </w:style>
  <w:style w:type="paragraph" w:styleId="ListBullet3">
    <w:name w:val="List Bullet 3"/>
    <w:basedOn w:val="Normal"/>
    <w:uiPriority w:val="99"/>
    <w:unhideWhenUsed/>
    <w:rsid w:val="006E3FB2"/>
    <w:pPr>
      <w:numPr>
        <w:numId w:val="8"/>
      </w:numPr>
      <w:contextualSpacing/>
    </w:pPr>
  </w:style>
  <w:style w:type="paragraph" w:styleId="ListBullet4">
    <w:name w:val="List Bullet 4"/>
    <w:basedOn w:val="Normal"/>
    <w:uiPriority w:val="99"/>
    <w:unhideWhenUsed/>
    <w:rsid w:val="006E3FB2"/>
    <w:pPr>
      <w:numPr>
        <w:numId w:val="9"/>
      </w:numPr>
      <w:contextualSpacing/>
    </w:pPr>
  </w:style>
  <w:style w:type="paragraph" w:styleId="ListBullet5">
    <w:name w:val="List Bullet 5"/>
    <w:basedOn w:val="Normal"/>
    <w:uiPriority w:val="99"/>
    <w:unhideWhenUsed/>
    <w:rsid w:val="006E3FB2"/>
    <w:pPr>
      <w:numPr>
        <w:numId w:val="10"/>
      </w:numPr>
      <w:contextualSpacing/>
    </w:pPr>
  </w:style>
  <w:style w:type="paragraph" w:styleId="ListContinue">
    <w:name w:val="List Continue"/>
    <w:basedOn w:val="Normal"/>
    <w:uiPriority w:val="99"/>
    <w:unhideWhenUsed/>
    <w:rsid w:val="006E3FB2"/>
    <w:pPr>
      <w:spacing w:after="120"/>
      <w:ind w:left="283"/>
      <w:contextualSpacing/>
    </w:pPr>
  </w:style>
  <w:style w:type="character" w:styleId="Hyperlink">
    <w:name w:val="Hyperlink"/>
    <w:basedOn w:val="DefaultParagraphFont"/>
    <w:uiPriority w:val="99"/>
    <w:unhideWhenUsed/>
    <w:rsid w:val="00942C14"/>
    <w:rPr>
      <w:rFonts w:asciiTheme="minorHAnsi" w:hAnsiTheme="minorHAnsi"/>
      <w:color w:val="057995" w:themeColor="accent1"/>
      <w:sz w:val="17"/>
      <w:u w:val="single"/>
    </w:rPr>
  </w:style>
  <w:style w:type="character" w:styleId="HTMLVariable">
    <w:name w:val="HTML Variable"/>
    <w:basedOn w:val="DefaultParagraphFont"/>
    <w:uiPriority w:val="99"/>
    <w:unhideWhenUsed/>
    <w:rsid w:val="006E3FB2"/>
    <w:rPr>
      <w:i/>
      <w:iCs/>
    </w:rPr>
  </w:style>
  <w:style w:type="character" w:styleId="FollowedHyperlink">
    <w:name w:val="FollowedHyperlink"/>
    <w:basedOn w:val="DefaultParagraphFont"/>
    <w:uiPriority w:val="99"/>
    <w:unhideWhenUsed/>
    <w:rsid w:val="00263CD2"/>
    <w:rPr>
      <w:color w:val="057995" w:themeColor="accent1"/>
      <w:u w:val="single"/>
    </w:rPr>
  </w:style>
  <w:style w:type="paragraph" w:styleId="EnvelopeReturn">
    <w:name w:val="envelope return"/>
    <w:basedOn w:val="Normal"/>
    <w:uiPriority w:val="99"/>
    <w:unhideWhenUsed/>
    <w:rsid w:val="006E3FB2"/>
    <w:pPr>
      <w:spacing w:after="0"/>
    </w:pPr>
    <w:rPr>
      <w:rFonts w:asciiTheme="majorHAnsi" w:eastAsiaTheme="majorEastAsia" w:hAnsiTheme="majorHAnsi" w:cstheme="majorBidi"/>
      <w:sz w:val="20"/>
      <w:szCs w:val="20"/>
    </w:rPr>
  </w:style>
  <w:style w:type="paragraph" w:styleId="EnvelopeAddress">
    <w:name w:val="envelope address"/>
    <w:basedOn w:val="Normal"/>
    <w:uiPriority w:val="99"/>
    <w:unhideWhenUsed/>
    <w:rsid w:val="006E3FB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dnoteText">
    <w:name w:val="endnote text"/>
    <w:basedOn w:val="FootnoteText"/>
    <w:link w:val="EndnoteTextChar"/>
    <w:uiPriority w:val="99"/>
    <w:unhideWhenUsed/>
    <w:rsid w:val="00FA5325"/>
    <w:rPr>
      <w:sz w:val="16"/>
      <w:szCs w:val="16"/>
      <w:lang w:val="en-AU"/>
    </w:rPr>
  </w:style>
  <w:style w:type="character" w:customStyle="1" w:styleId="EndnoteTextChar">
    <w:name w:val="Endnote Text Char"/>
    <w:basedOn w:val="DefaultParagraphFont"/>
    <w:link w:val="EndnoteText"/>
    <w:uiPriority w:val="99"/>
    <w:rsid w:val="00FA5325"/>
    <w:rPr>
      <w:rFonts w:eastAsiaTheme="minorEastAsia" w:cs="Gotham-Book"/>
      <w:color w:val="515151"/>
      <w:kern w:val="24"/>
      <w:sz w:val="16"/>
      <w:szCs w:val="16"/>
      <w:lang w:eastAsia="ja-JP"/>
      <w14:ligatures w14:val="none"/>
    </w:rPr>
  </w:style>
  <w:style w:type="character" w:styleId="EndnoteReference">
    <w:name w:val="endnote reference"/>
    <w:basedOn w:val="DefaultParagraphFont"/>
    <w:uiPriority w:val="99"/>
    <w:unhideWhenUsed/>
    <w:rsid w:val="006E3FB2"/>
    <w:rPr>
      <w:vertAlign w:val="superscript"/>
    </w:rPr>
  </w:style>
  <w:style w:type="paragraph" w:styleId="E-mailSignature">
    <w:name w:val="E-mail Signature"/>
    <w:basedOn w:val="Normal"/>
    <w:link w:val="E-mailSignatureChar"/>
    <w:uiPriority w:val="99"/>
    <w:unhideWhenUsed/>
    <w:rsid w:val="006E3FB2"/>
    <w:pPr>
      <w:spacing w:after="0"/>
    </w:pPr>
  </w:style>
  <w:style w:type="character" w:customStyle="1" w:styleId="E-mailSignatureChar">
    <w:name w:val="E-mail Signature Char"/>
    <w:basedOn w:val="DefaultParagraphFont"/>
    <w:link w:val="E-mailSignature"/>
    <w:uiPriority w:val="99"/>
    <w:rsid w:val="006E3FB2"/>
    <w:rPr>
      <w:rFonts w:eastAsiaTheme="minorEastAsia" w:cs="Gotham-Book"/>
      <w:color w:val="515151"/>
      <w:kern w:val="24"/>
      <w:sz w:val="22"/>
      <w:szCs w:val="22"/>
      <w:lang w:val="en-US" w:eastAsia="ja-JP"/>
      <w14:ligatures w14:val="none"/>
    </w:rPr>
  </w:style>
  <w:style w:type="paragraph" w:styleId="DocumentMap">
    <w:name w:val="Document Map"/>
    <w:basedOn w:val="Normal"/>
    <w:link w:val="DocumentMapChar"/>
    <w:uiPriority w:val="99"/>
    <w:unhideWhenUsed/>
    <w:rsid w:val="006E3FB2"/>
    <w:pPr>
      <w:spacing w:after="0"/>
    </w:pPr>
    <w:rPr>
      <w:rFonts w:ascii="Helvetica" w:hAnsi="Helvetica"/>
      <w:sz w:val="26"/>
      <w:szCs w:val="26"/>
    </w:rPr>
  </w:style>
  <w:style w:type="character" w:customStyle="1" w:styleId="DocumentMapChar">
    <w:name w:val="Document Map Char"/>
    <w:basedOn w:val="DefaultParagraphFont"/>
    <w:link w:val="DocumentMap"/>
    <w:uiPriority w:val="99"/>
    <w:rsid w:val="006E3FB2"/>
    <w:rPr>
      <w:rFonts w:ascii="Helvetica" w:eastAsiaTheme="minorEastAsia" w:hAnsi="Helvetica" w:cs="Gotham-Book"/>
      <w:color w:val="515151"/>
      <w:kern w:val="24"/>
      <w:sz w:val="26"/>
      <w:szCs w:val="26"/>
      <w:lang w:val="en-US" w:eastAsia="ja-JP"/>
      <w14:ligatures w14:val="none"/>
    </w:rPr>
  </w:style>
  <w:style w:type="paragraph" w:styleId="Date">
    <w:name w:val="Date"/>
    <w:basedOn w:val="Normal"/>
    <w:next w:val="Normal"/>
    <w:link w:val="DateChar"/>
    <w:uiPriority w:val="99"/>
    <w:unhideWhenUsed/>
    <w:rsid w:val="006E3FB2"/>
  </w:style>
  <w:style w:type="character" w:customStyle="1" w:styleId="DateChar">
    <w:name w:val="Date Char"/>
    <w:basedOn w:val="DefaultParagraphFont"/>
    <w:link w:val="Date"/>
    <w:uiPriority w:val="99"/>
    <w:rsid w:val="006E3FB2"/>
    <w:rPr>
      <w:rFonts w:eastAsiaTheme="minorEastAsia" w:cs="Gotham-Book"/>
      <w:color w:val="515151"/>
      <w:kern w:val="24"/>
      <w:sz w:val="22"/>
      <w:szCs w:val="22"/>
      <w:lang w:val="en-US" w:eastAsia="ja-JP"/>
      <w14:ligatures w14:val="none"/>
    </w:rPr>
  </w:style>
  <w:style w:type="paragraph" w:styleId="CommentText">
    <w:name w:val="annotation text"/>
    <w:basedOn w:val="Normal"/>
    <w:link w:val="CommentTextChar"/>
    <w:uiPriority w:val="99"/>
    <w:unhideWhenUsed/>
    <w:rsid w:val="006E3FB2"/>
    <w:rPr>
      <w:sz w:val="20"/>
      <w:szCs w:val="20"/>
    </w:rPr>
  </w:style>
  <w:style w:type="character" w:customStyle="1" w:styleId="CommentTextChar">
    <w:name w:val="Comment Text Char"/>
    <w:basedOn w:val="DefaultParagraphFont"/>
    <w:link w:val="CommentText"/>
    <w:uiPriority w:val="99"/>
    <w:rsid w:val="006E3FB2"/>
    <w:rPr>
      <w:rFonts w:eastAsiaTheme="minorEastAsia" w:cs="Gotham-Book"/>
      <w:color w:val="515151"/>
      <w:kern w:val="24"/>
      <w:sz w:val="20"/>
      <w:szCs w:val="20"/>
      <w:lang w:val="en-US" w:eastAsia="ja-JP"/>
      <w14:ligatures w14:val="none"/>
    </w:rPr>
  </w:style>
  <w:style w:type="paragraph" w:styleId="CommentSubject">
    <w:name w:val="annotation subject"/>
    <w:basedOn w:val="CommentText"/>
    <w:next w:val="CommentText"/>
    <w:link w:val="CommentSubjectChar"/>
    <w:uiPriority w:val="99"/>
    <w:unhideWhenUsed/>
    <w:rsid w:val="006E3FB2"/>
    <w:rPr>
      <w:b/>
      <w:bCs/>
    </w:rPr>
  </w:style>
  <w:style w:type="character" w:customStyle="1" w:styleId="CommentSubjectChar">
    <w:name w:val="Comment Subject Char"/>
    <w:basedOn w:val="CommentTextChar"/>
    <w:link w:val="CommentSubject"/>
    <w:uiPriority w:val="99"/>
    <w:rsid w:val="006E3FB2"/>
    <w:rPr>
      <w:rFonts w:eastAsiaTheme="minorEastAsia" w:cs="Gotham-Book"/>
      <w:b/>
      <w:bCs/>
      <w:color w:val="515151"/>
      <w:kern w:val="24"/>
      <w:sz w:val="20"/>
      <w:szCs w:val="20"/>
      <w:lang w:val="en-US" w:eastAsia="ja-JP"/>
      <w14:ligatures w14:val="none"/>
    </w:rPr>
  </w:style>
  <w:style w:type="character" w:styleId="CommentReference">
    <w:name w:val="annotation reference"/>
    <w:basedOn w:val="DefaultParagraphFont"/>
    <w:uiPriority w:val="99"/>
    <w:unhideWhenUsed/>
    <w:rsid w:val="006E3FB2"/>
    <w:rPr>
      <w:sz w:val="16"/>
      <w:szCs w:val="16"/>
    </w:rPr>
  </w:style>
  <w:style w:type="paragraph" w:styleId="Closing">
    <w:name w:val="Closing"/>
    <w:basedOn w:val="Normal"/>
    <w:link w:val="ClosingChar"/>
    <w:uiPriority w:val="99"/>
    <w:unhideWhenUsed/>
    <w:rsid w:val="006E3FB2"/>
    <w:pPr>
      <w:spacing w:after="0"/>
      <w:ind w:left="4252"/>
    </w:pPr>
  </w:style>
  <w:style w:type="character" w:customStyle="1" w:styleId="ClosingChar">
    <w:name w:val="Closing Char"/>
    <w:basedOn w:val="DefaultParagraphFont"/>
    <w:link w:val="Closing"/>
    <w:uiPriority w:val="99"/>
    <w:rsid w:val="006E3FB2"/>
    <w:rPr>
      <w:rFonts w:eastAsiaTheme="minorEastAsia" w:cs="Gotham-Book"/>
      <w:color w:val="515151"/>
      <w:kern w:val="24"/>
      <w:sz w:val="22"/>
      <w:szCs w:val="22"/>
      <w:lang w:val="en-US" w:eastAsia="ja-JP"/>
      <w14:ligatures w14:val="none"/>
    </w:rPr>
  </w:style>
  <w:style w:type="paragraph" w:styleId="BodyTextIndent3">
    <w:name w:val="Body Text Indent 3"/>
    <w:basedOn w:val="Normal"/>
    <w:link w:val="BodyTextIndent3Char"/>
    <w:uiPriority w:val="99"/>
    <w:unhideWhenUsed/>
    <w:rsid w:val="006E3FB2"/>
    <w:pPr>
      <w:spacing w:after="120"/>
      <w:ind w:left="283"/>
    </w:pPr>
    <w:rPr>
      <w:sz w:val="16"/>
      <w:szCs w:val="16"/>
    </w:rPr>
  </w:style>
  <w:style w:type="character" w:customStyle="1" w:styleId="BodyTextIndent3Char">
    <w:name w:val="Body Text Indent 3 Char"/>
    <w:basedOn w:val="DefaultParagraphFont"/>
    <w:link w:val="BodyTextIndent3"/>
    <w:uiPriority w:val="99"/>
    <w:rsid w:val="006E3FB2"/>
    <w:rPr>
      <w:rFonts w:eastAsiaTheme="minorEastAsia" w:cs="Gotham-Book"/>
      <w:color w:val="515151"/>
      <w:kern w:val="24"/>
      <w:sz w:val="16"/>
      <w:szCs w:val="16"/>
      <w:lang w:val="en-US" w:eastAsia="ja-JP"/>
      <w14:ligatures w14:val="none"/>
    </w:rPr>
  </w:style>
  <w:style w:type="paragraph" w:styleId="BodyTextIndent2">
    <w:name w:val="Body Text Indent 2"/>
    <w:basedOn w:val="Normal"/>
    <w:link w:val="BodyTextIndent2Char"/>
    <w:uiPriority w:val="99"/>
    <w:unhideWhenUsed/>
    <w:rsid w:val="006E3FB2"/>
    <w:pPr>
      <w:spacing w:after="120" w:line="480" w:lineRule="auto"/>
      <w:ind w:left="283"/>
    </w:pPr>
  </w:style>
  <w:style w:type="character" w:customStyle="1" w:styleId="BodyTextIndent2Char">
    <w:name w:val="Body Text Indent 2 Char"/>
    <w:basedOn w:val="DefaultParagraphFont"/>
    <w:link w:val="BodyTextIndent2"/>
    <w:uiPriority w:val="99"/>
    <w:rsid w:val="006E3FB2"/>
    <w:rPr>
      <w:rFonts w:eastAsiaTheme="minorEastAsia" w:cs="Gotham-Book"/>
      <w:color w:val="515151"/>
      <w:kern w:val="24"/>
      <w:sz w:val="22"/>
      <w:szCs w:val="22"/>
      <w:lang w:val="en-US" w:eastAsia="ja-JP"/>
      <w14:ligatures w14:val="none"/>
    </w:rPr>
  </w:style>
  <w:style w:type="paragraph" w:styleId="BlockText">
    <w:name w:val="Block Text"/>
    <w:aliases w:val="Pull out text block"/>
    <w:basedOn w:val="Normal"/>
    <w:uiPriority w:val="99"/>
    <w:unhideWhenUsed/>
    <w:rsid w:val="006E3FB2"/>
    <w:pPr>
      <w:pBdr>
        <w:top w:val="single" w:sz="2" w:space="10" w:color="057995" w:themeColor="accent1"/>
        <w:left w:val="single" w:sz="2" w:space="10" w:color="057995" w:themeColor="accent1"/>
        <w:bottom w:val="single" w:sz="2" w:space="10" w:color="057995" w:themeColor="accent1"/>
        <w:right w:val="single" w:sz="2" w:space="10" w:color="057995" w:themeColor="accent1"/>
      </w:pBdr>
      <w:ind w:left="1152" w:right="1152"/>
    </w:pPr>
    <w:rPr>
      <w:i/>
      <w:iCs/>
      <w:color w:val="057995" w:themeColor="accent1"/>
    </w:rPr>
  </w:style>
  <w:style w:type="paragraph" w:styleId="Bibliography">
    <w:name w:val="Bibliography"/>
    <w:basedOn w:val="Normal"/>
    <w:next w:val="Normal"/>
    <w:uiPriority w:val="37"/>
    <w:unhideWhenUsed/>
    <w:rsid w:val="006E3FB2"/>
  </w:style>
  <w:style w:type="paragraph" w:styleId="Caption">
    <w:name w:val="caption"/>
    <w:basedOn w:val="Normal"/>
    <w:next w:val="Normal"/>
    <w:uiPriority w:val="35"/>
    <w:unhideWhenUsed/>
    <w:qFormat/>
    <w:rsid w:val="00FA5325"/>
    <w:pPr>
      <w:spacing w:after="200"/>
    </w:pPr>
    <w:rPr>
      <w:i/>
      <w:iCs/>
      <w:color w:val="057995" w:themeColor="text1"/>
      <w:sz w:val="18"/>
      <w:szCs w:val="18"/>
    </w:rPr>
  </w:style>
  <w:style w:type="paragraph" w:styleId="BalloonText">
    <w:name w:val="Balloon Text"/>
    <w:basedOn w:val="Normal"/>
    <w:link w:val="BalloonTextChar"/>
    <w:uiPriority w:val="99"/>
    <w:unhideWhenUsed/>
    <w:rsid w:val="006E3FB2"/>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rsid w:val="006E3FB2"/>
    <w:rPr>
      <w:rFonts w:ascii="Times New Roman" w:eastAsiaTheme="minorEastAsia" w:hAnsi="Times New Roman" w:cs="Times New Roman"/>
      <w:color w:val="515151"/>
      <w:kern w:val="24"/>
      <w:sz w:val="18"/>
      <w:szCs w:val="18"/>
      <w:lang w:val="en-US" w:eastAsia="ja-JP"/>
      <w14:ligatures w14:val="none"/>
    </w:rPr>
  </w:style>
  <w:style w:type="paragraph" w:styleId="TOCHeading">
    <w:name w:val="TOC Heading"/>
    <w:basedOn w:val="Heading1"/>
    <w:next w:val="Normal"/>
    <w:uiPriority w:val="39"/>
    <w:unhideWhenUsed/>
    <w:qFormat/>
    <w:rsid w:val="006E3FB2"/>
    <w:pPr>
      <w:spacing w:before="240" w:after="0"/>
      <w:outlineLvl w:val="9"/>
    </w:pPr>
    <w:rPr>
      <w:rFonts w:asciiTheme="majorHAnsi" w:hAnsiTheme="majorHAnsi"/>
      <w:b w:val="0"/>
      <w:bCs w:val="0"/>
      <w:color w:val="035A6F" w:themeColor="accent1" w:themeShade="BF"/>
      <w:sz w:val="32"/>
      <w:szCs w:val="32"/>
    </w:rPr>
  </w:style>
  <w:style w:type="paragraph" w:styleId="TOC2">
    <w:name w:val="toc 2"/>
    <w:basedOn w:val="Normal"/>
    <w:next w:val="Normal"/>
    <w:autoRedefine/>
    <w:uiPriority w:val="39"/>
    <w:unhideWhenUsed/>
    <w:rsid w:val="00573F69"/>
    <w:pPr>
      <w:spacing w:after="100"/>
      <w:ind w:left="220"/>
    </w:pPr>
  </w:style>
  <w:style w:type="paragraph" w:styleId="TOC3">
    <w:name w:val="toc 3"/>
    <w:basedOn w:val="Normal"/>
    <w:next w:val="Normal"/>
    <w:autoRedefine/>
    <w:uiPriority w:val="39"/>
    <w:unhideWhenUsed/>
    <w:rsid w:val="00573F69"/>
    <w:pPr>
      <w:spacing w:after="100"/>
      <w:ind w:left="440"/>
    </w:pPr>
  </w:style>
  <w:style w:type="paragraph" w:styleId="TOC4">
    <w:name w:val="toc 4"/>
    <w:basedOn w:val="Normal"/>
    <w:next w:val="Normal"/>
    <w:autoRedefine/>
    <w:uiPriority w:val="39"/>
    <w:unhideWhenUsed/>
    <w:rsid w:val="00573F69"/>
    <w:pPr>
      <w:spacing w:after="100"/>
      <w:ind w:left="660"/>
    </w:pPr>
  </w:style>
  <w:style w:type="paragraph" w:styleId="TOC5">
    <w:name w:val="toc 5"/>
    <w:basedOn w:val="Normal"/>
    <w:next w:val="Normal"/>
    <w:autoRedefine/>
    <w:uiPriority w:val="39"/>
    <w:unhideWhenUsed/>
    <w:rsid w:val="00573F69"/>
    <w:pPr>
      <w:spacing w:after="100"/>
      <w:ind w:left="880"/>
    </w:pPr>
  </w:style>
  <w:style w:type="character" w:styleId="SubtleEmphasis">
    <w:name w:val="Subtle Emphasis"/>
    <w:basedOn w:val="DefaultParagraphFont"/>
    <w:uiPriority w:val="19"/>
    <w:qFormat/>
    <w:rsid w:val="00FF270B"/>
    <w:rPr>
      <w:i/>
      <w:iCs/>
      <w:color w:val="057995" w:themeColor="text1"/>
    </w:rPr>
  </w:style>
  <w:style w:type="character" w:styleId="Emphasis">
    <w:name w:val="Emphasis"/>
    <w:basedOn w:val="DefaultParagraphFont"/>
    <w:uiPriority w:val="20"/>
    <w:qFormat/>
    <w:rsid w:val="00224A89"/>
    <w:rPr>
      <w:i/>
      <w:iCs/>
    </w:rPr>
  </w:style>
  <w:style w:type="character" w:styleId="Strong">
    <w:name w:val="Strong"/>
    <w:basedOn w:val="DefaultParagraphFont"/>
    <w:uiPriority w:val="22"/>
    <w:qFormat/>
    <w:rsid w:val="00224A89"/>
    <w:rPr>
      <w:b/>
      <w:bCs/>
    </w:rPr>
  </w:style>
  <w:style w:type="paragraph" w:styleId="MessageHeader">
    <w:name w:val="Message Header"/>
    <w:basedOn w:val="Normal"/>
    <w:link w:val="MessageHeaderChar"/>
    <w:uiPriority w:val="99"/>
    <w:unhideWhenUsed/>
    <w:rsid w:val="00224A89"/>
    <w:pPr>
      <w:spacing w:after="0"/>
      <w:ind w:left="1134" w:hanging="1134"/>
    </w:pPr>
    <w:rPr>
      <w:rFonts w:eastAsiaTheme="majorEastAsia" w:cs="Times New Roman (Headings CS)"/>
      <w:szCs w:val="24"/>
    </w:rPr>
  </w:style>
  <w:style w:type="character" w:customStyle="1" w:styleId="MessageHeaderChar">
    <w:name w:val="Message Header Char"/>
    <w:basedOn w:val="DefaultParagraphFont"/>
    <w:link w:val="MessageHeader"/>
    <w:uiPriority w:val="99"/>
    <w:rsid w:val="00224A89"/>
    <w:rPr>
      <w:rFonts w:eastAsiaTheme="majorEastAsia" w:cs="Times New Roman (Headings CS)"/>
      <w:color w:val="515151"/>
      <w:kern w:val="24"/>
      <w:sz w:val="22"/>
      <w:lang w:val="en-US" w:eastAsia="ja-JP"/>
      <w14:ligatures w14:val="none"/>
    </w:rPr>
  </w:style>
  <w:style w:type="table" w:styleId="TableGrid">
    <w:name w:val="Table Grid"/>
    <w:basedOn w:val="TableNormal"/>
    <w:uiPriority w:val="59"/>
    <w:rsid w:val="007F717D"/>
    <w:pPr>
      <w:spacing w:after="0" w:line="240" w:lineRule="auto"/>
    </w:pPr>
    <w:tblPr>
      <w:tblBorders>
        <w:top w:val="single" w:sz="6" w:space="0" w:color="CEC5BA" w:themeColor="background2"/>
        <w:left w:val="single" w:sz="6" w:space="0" w:color="CEC5BA" w:themeColor="background2"/>
        <w:bottom w:val="single" w:sz="6" w:space="0" w:color="CEC5BA" w:themeColor="background2"/>
        <w:right w:val="single" w:sz="6" w:space="0" w:color="CEC5BA" w:themeColor="background2"/>
        <w:insideH w:val="single" w:sz="6" w:space="0" w:color="CEC5BA" w:themeColor="background2"/>
        <w:insideV w:val="single" w:sz="6" w:space="0" w:color="CEC5BA" w:themeColor="background2"/>
      </w:tblBorders>
    </w:tblPr>
    <w:tblStylePr w:type="firstRow">
      <w:rPr>
        <w:rFonts w:asciiTheme="minorHAnsi" w:hAnsiTheme="minorHAnsi"/>
        <w:sz w:val="22"/>
      </w:rPr>
    </w:tblStylePr>
  </w:style>
  <w:style w:type="table" w:styleId="GridTable1Light-Accent6">
    <w:name w:val="Grid Table 1 Light Accent 6"/>
    <w:basedOn w:val="TableNormal"/>
    <w:uiPriority w:val="46"/>
    <w:rsid w:val="000C72C1"/>
    <w:pPr>
      <w:spacing w:after="0" w:line="240" w:lineRule="auto"/>
    </w:pPr>
    <w:tblPr>
      <w:tblStyleRowBandSize w:val="1"/>
      <w:tblStyleColBandSize w:val="1"/>
      <w:tblBorders>
        <w:top w:val="single" w:sz="4" w:space="0" w:color="64B3EE" w:themeColor="accent6" w:themeTint="66"/>
        <w:left w:val="single" w:sz="4" w:space="0" w:color="64B3EE" w:themeColor="accent6" w:themeTint="66"/>
        <w:bottom w:val="single" w:sz="4" w:space="0" w:color="64B3EE" w:themeColor="accent6" w:themeTint="66"/>
        <w:right w:val="single" w:sz="4" w:space="0" w:color="64B3EE" w:themeColor="accent6" w:themeTint="66"/>
        <w:insideH w:val="single" w:sz="4" w:space="0" w:color="64B3EE" w:themeColor="accent6" w:themeTint="66"/>
        <w:insideV w:val="single" w:sz="4" w:space="0" w:color="64B3EE" w:themeColor="accent6" w:themeTint="66"/>
      </w:tblBorders>
    </w:tblPr>
    <w:tblStylePr w:type="firstRow">
      <w:rPr>
        <w:b/>
        <w:bCs/>
      </w:rPr>
      <w:tblPr/>
      <w:tcPr>
        <w:tcBorders>
          <w:bottom w:val="single" w:sz="12" w:space="0" w:color="188EE6" w:themeColor="accent6" w:themeTint="99"/>
        </w:tcBorders>
      </w:tcPr>
    </w:tblStylePr>
    <w:tblStylePr w:type="lastRow">
      <w:rPr>
        <w:b/>
        <w:bCs/>
      </w:rPr>
      <w:tblPr/>
      <w:tcPr>
        <w:tcBorders>
          <w:top w:val="double" w:sz="2" w:space="0" w:color="188EE6" w:themeColor="accent6" w:themeTint="99"/>
        </w:tcBorders>
      </w:tcPr>
    </w:tblStylePr>
    <w:tblStylePr w:type="firstCol">
      <w:rPr>
        <w:b/>
        <w:bCs/>
      </w:rPr>
    </w:tblStylePr>
    <w:tblStylePr w:type="lastCol">
      <w:rPr>
        <w:b/>
        <w:bCs/>
      </w:rPr>
    </w:tblStylePr>
  </w:style>
  <w:style w:type="table" w:styleId="PlainTable2">
    <w:name w:val="Plain Table 2"/>
    <w:basedOn w:val="TableNormal"/>
    <w:uiPriority w:val="42"/>
    <w:rsid w:val="000C72C1"/>
    <w:pPr>
      <w:spacing w:after="0" w:line="240" w:lineRule="auto"/>
    </w:pPr>
    <w:tblPr>
      <w:tblStyleRowBandSize w:val="1"/>
      <w:tblStyleColBandSize w:val="1"/>
      <w:tblBorders>
        <w:top w:val="single" w:sz="4" w:space="0" w:color="51D8F9" w:themeColor="text1" w:themeTint="80"/>
        <w:bottom w:val="single" w:sz="4" w:space="0" w:color="51D8F9" w:themeColor="text1" w:themeTint="80"/>
      </w:tblBorders>
    </w:tblPr>
    <w:tblStylePr w:type="firstRow">
      <w:rPr>
        <w:b/>
        <w:bCs/>
      </w:rPr>
      <w:tblPr/>
      <w:tcPr>
        <w:tcBorders>
          <w:bottom w:val="single" w:sz="4" w:space="0" w:color="51D8F9" w:themeColor="text1" w:themeTint="80"/>
        </w:tcBorders>
      </w:tcPr>
    </w:tblStylePr>
    <w:tblStylePr w:type="lastRow">
      <w:rPr>
        <w:b/>
        <w:bCs/>
      </w:rPr>
      <w:tblPr/>
      <w:tcPr>
        <w:tcBorders>
          <w:top w:val="single" w:sz="4" w:space="0" w:color="51D8F9" w:themeColor="text1" w:themeTint="80"/>
        </w:tcBorders>
      </w:tcPr>
    </w:tblStylePr>
    <w:tblStylePr w:type="firstCol">
      <w:rPr>
        <w:b/>
        <w:bCs/>
      </w:rPr>
    </w:tblStylePr>
    <w:tblStylePr w:type="lastCol">
      <w:rPr>
        <w:b/>
        <w:bCs/>
      </w:rPr>
    </w:tblStylePr>
    <w:tblStylePr w:type="band1Vert">
      <w:tblPr/>
      <w:tcPr>
        <w:tcBorders>
          <w:left w:val="single" w:sz="4" w:space="0" w:color="51D8F9" w:themeColor="text1" w:themeTint="80"/>
          <w:right w:val="single" w:sz="4" w:space="0" w:color="51D8F9" w:themeColor="text1" w:themeTint="80"/>
        </w:tcBorders>
      </w:tcPr>
    </w:tblStylePr>
    <w:tblStylePr w:type="band2Vert">
      <w:tblPr/>
      <w:tcPr>
        <w:tcBorders>
          <w:left w:val="single" w:sz="4" w:space="0" w:color="51D8F9" w:themeColor="text1" w:themeTint="80"/>
          <w:right w:val="single" w:sz="4" w:space="0" w:color="51D8F9" w:themeColor="text1" w:themeTint="80"/>
        </w:tcBorders>
      </w:tcPr>
    </w:tblStylePr>
    <w:tblStylePr w:type="band1Horz">
      <w:tblPr/>
      <w:tcPr>
        <w:tcBorders>
          <w:top w:val="single" w:sz="4" w:space="0" w:color="51D8F9" w:themeColor="text1" w:themeTint="80"/>
          <w:bottom w:val="single" w:sz="4" w:space="0" w:color="51D8F9" w:themeColor="text1" w:themeTint="80"/>
        </w:tcBorders>
      </w:tcPr>
    </w:tblStylePr>
  </w:style>
  <w:style w:type="table" w:styleId="GridTable4-Accent4">
    <w:name w:val="Grid Table 4 Accent 4"/>
    <w:basedOn w:val="TableNormal"/>
    <w:uiPriority w:val="49"/>
    <w:rsid w:val="000C72C1"/>
    <w:pPr>
      <w:spacing w:after="0" w:line="240" w:lineRule="auto"/>
    </w:pPr>
    <w:tblPr>
      <w:tblStyleRowBandSize w:val="1"/>
      <w:tblStyleColBandSize w:val="1"/>
      <w:tblBorders>
        <w:top w:val="single" w:sz="4" w:space="0" w:color="E1DCD5" w:themeColor="accent4" w:themeTint="99"/>
        <w:left w:val="single" w:sz="4" w:space="0" w:color="E1DCD5" w:themeColor="accent4" w:themeTint="99"/>
        <w:bottom w:val="single" w:sz="4" w:space="0" w:color="E1DCD5" w:themeColor="accent4" w:themeTint="99"/>
        <w:right w:val="single" w:sz="4" w:space="0" w:color="E1DCD5" w:themeColor="accent4" w:themeTint="99"/>
        <w:insideH w:val="single" w:sz="4" w:space="0" w:color="E1DCD5" w:themeColor="accent4" w:themeTint="99"/>
        <w:insideV w:val="single" w:sz="4" w:space="0" w:color="E1DCD5" w:themeColor="accent4" w:themeTint="99"/>
      </w:tblBorders>
    </w:tblPr>
    <w:tblStylePr w:type="firstRow">
      <w:rPr>
        <w:b/>
        <w:bCs/>
        <w:color w:val="FFFEFF" w:themeColor="background1"/>
      </w:rPr>
      <w:tblPr/>
      <w:tcPr>
        <w:tcBorders>
          <w:top w:val="single" w:sz="4" w:space="0" w:color="CEC5BA" w:themeColor="accent4"/>
          <w:left w:val="single" w:sz="4" w:space="0" w:color="CEC5BA" w:themeColor="accent4"/>
          <w:bottom w:val="single" w:sz="4" w:space="0" w:color="CEC5BA" w:themeColor="accent4"/>
          <w:right w:val="single" w:sz="4" w:space="0" w:color="CEC5BA" w:themeColor="accent4"/>
          <w:insideH w:val="nil"/>
          <w:insideV w:val="nil"/>
        </w:tcBorders>
        <w:shd w:val="clear" w:color="auto" w:fill="CEC5BA" w:themeFill="accent4"/>
      </w:tcPr>
    </w:tblStylePr>
    <w:tblStylePr w:type="lastRow">
      <w:rPr>
        <w:b/>
        <w:bCs/>
      </w:rPr>
      <w:tblPr/>
      <w:tcPr>
        <w:tcBorders>
          <w:top w:val="double" w:sz="4" w:space="0" w:color="CEC5BA" w:themeColor="accent4"/>
        </w:tcBorders>
      </w:tcPr>
    </w:tblStylePr>
    <w:tblStylePr w:type="firstCol">
      <w:rPr>
        <w:b/>
        <w:bCs/>
      </w:rPr>
    </w:tblStylePr>
    <w:tblStylePr w:type="lastCol">
      <w:rPr>
        <w:b/>
        <w:bCs/>
      </w:rPr>
    </w:tblStylePr>
    <w:tblStylePr w:type="band1Vert">
      <w:tblPr/>
      <w:tcPr>
        <w:shd w:val="clear" w:color="auto" w:fill="F5F3F1" w:themeFill="accent4" w:themeFillTint="33"/>
      </w:tcPr>
    </w:tblStylePr>
    <w:tblStylePr w:type="band1Horz">
      <w:tblPr/>
      <w:tcPr>
        <w:shd w:val="clear" w:color="auto" w:fill="F5F3F1" w:themeFill="accent4" w:themeFillTint="33"/>
      </w:tcPr>
    </w:tblStylePr>
  </w:style>
  <w:style w:type="table" w:styleId="GridTable5Dark">
    <w:name w:val="Grid Table 5 Dark"/>
    <w:basedOn w:val="TableNormal"/>
    <w:uiPriority w:val="50"/>
    <w:rsid w:val="000C72C1"/>
    <w:pPr>
      <w:spacing w:after="0" w:line="240" w:lineRule="auto"/>
    </w:pPr>
    <w:tblPr>
      <w:tblStyleRowBandSize w:val="1"/>
      <w:tblStyleColBandSize w:val="1"/>
      <w:tblBorders>
        <w:top w:val="single" w:sz="4" w:space="0" w:color="FFFEFF" w:themeColor="background1"/>
        <w:left w:val="single" w:sz="4" w:space="0" w:color="FFFEFF" w:themeColor="background1"/>
        <w:bottom w:val="single" w:sz="4" w:space="0" w:color="FFFEFF" w:themeColor="background1"/>
        <w:right w:val="single" w:sz="4" w:space="0" w:color="FFFEFF" w:themeColor="background1"/>
        <w:insideH w:val="single" w:sz="4" w:space="0" w:color="FFFEFF" w:themeColor="background1"/>
        <w:insideV w:val="single" w:sz="4" w:space="0" w:color="FFFEFF" w:themeColor="background1"/>
      </w:tblBorders>
    </w:tblPr>
    <w:tcPr>
      <w:shd w:val="clear" w:color="auto" w:fill="B9EFFC" w:themeFill="text1" w:themeFillTint="33"/>
    </w:tcPr>
    <w:tblStylePr w:type="firstRow">
      <w:rPr>
        <w:b/>
        <w:bCs/>
        <w:color w:val="FFFEFF" w:themeColor="background1"/>
      </w:rPr>
      <w:tblPr/>
      <w:tcPr>
        <w:tcBorders>
          <w:top w:val="single" w:sz="4" w:space="0" w:color="FFFEFF" w:themeColor="background1"/>
          <w:left w:val="single" w:sz="4" w:space="0" w:color="FFFEFF" w:themeColor="background1"/>
          <w:right w:val="single" w:sz="4" w:space="0" w:color="FFFEFF" w:themeColor="background1"/>
          <w:insideH w:val="nil"/>
          <w:insideV w:val="nil"/>
        </w:tcBorders>
        <w:shd w:val="clear" w:color="auto" w:fill="057995" w:themeFill="text1"/>
      </w:tcPr>
    </w:tblStylePr>
    <w:tblStylePr w:type="lastRow">
      <w:rPr>
        <w:b/>
        <w:bCs/>
        <w:color w:val="FFFEFF" w:themeColor="background1"/>
      </w:rPr>
      <w:tblPr/>
      <w:tcPr>
        <w:tcBorders>
          <w:left w:val="single" w:sz="4" w:space="0" w:color="FFFEFF" w:themeColor="background1"/>
          <w:bottom w:val="single" w:sz="4" w:space="0" w:color="FFFEFF" w:themeColor="background1"/>
          <w:right w:val="single" w:sz="4" w:space="0" w:color="FFFEFF" w:themeColor="background1"/>
          <w:insideH w:val="nil"/>
          <w:insideV w:val="nil"/>
        </w:tcBorders>
        <w:shd w:val="clear" w:color="auto" w:fill="057995" w:themeFill="text1"/>
      </w:tcPr>
    </w:tblStylePr>
    <w:tblStylePr w:type="firstCol">
      <w:rPr>
        <w:b/>
        <w:bCs/>
        <w:color w:val="FFFEFF" w:themeColor="background1"/>
      </w:rPr>
      <w:tblPr/>
      <w:tcPr>
        <w:tcBorders>
          <w:top w:val="single" w:sz="4" w:space="0" w:color="FFFEFF" w:themeColor="background1"/>
          <w:left w:val="single" w:sz="4" w:space="0" w:color="FFFEFF" w:themeColor="background1"/>
          <w:bottom w:val="single" w:sz="4" w:space="0" w:color="FFFEFF" w:themeColor="background1"/>
          <w:insideV w:val="nil"/>
        </w:tcBorders>
        <w:shd w:val="clear" w:color="auto" w:fill="057995" w:themeFill="text1"/>
      </w:tcPr>
    </w:tblStylePr>
    <w:tblStylePr w:type="lastCol">
      <w:rPr>
        <w:b/>
        <w:bCs/>
        <w:color w:val="FFFEFF" w:themeColor="background1"/>
      </w:rPr>
      <w:tblPr/>
      <w:tcPr>
        <w:tcBorders>
          <w:top w:val="single" w:sz="4" w:space="0" w:color="FFFEFF" w:themeColor="background1"/>
          <w:bottom w:val="single" w:sz="4" w:space="0" w:color="FFFEFF" w:themeColor="background1"/>
          <w:right w:val="single" w:sz="4" w:space="0" w:color="FFFEFF" w:themeColor="background1"/>
          <w:insideV w:val="nil"/>
        </w:tcBorders>
        <w:shd w:val="clear" w:color="auto" w:fill="057995" w:themeFill="text1"/>
      </w:tcPr>
    </w:tblStylePr>
    <w:tblStylePr w:type="band1Vert">
      <w:tblPr/>
      <w:tcPr>
        <w:shd w:val="clear" w:color="auto" w:fill="74E0FA" w:themeFill="text1" w:themeFillTint="66"/>
      </w:tcPr>
    </w:tblStylePr>
    <w:tblStylePr w:type="band1Horz">
      <w:tblPr/>
      <w:tcPr>
        <w:shd w:val="clear" w:color="auto" w:fill="74E0FA" w:themeFill="text1" w:themeFillTint="66"/>
      </w:tcPr>
    </w:tblStylePr>
  </w:style>
  <w:style w:type="table" w:styleId="GridTable4-Accent1">
    <w:name w:val="Grid Table 4 Accent 1"/>
    <w:basedOn w:val="TableNormal"/>
    <w:uiPriority w:val="49"/>
    <w:rsid w:val="000C72C1"/>
    <w:pPr>
      <w:spacing w:after="0" w:line="240" w:lineRule="auto"/>
    </w:pPr>
    <w:tblPr>
      <w:tblStyleRowBandSize w:val="1"/>
      <w:tblStyleColBandSize w:val="1"/>
      <w:tblBorders>
        <w:top w:val="single" w:sz="4" w:space="0" w:color="30D0F8" w:themeColor="accent1" w:themeTint="99"/>
        <w:left w:val="single" w:sz="4" w:space="0" w:color="30D0F8" w:themeColor="accent1" w:themeTint="99"/>
        <w:bottom w:val="single" w:sz="4" w:space="0" w:color="30D0F8" w:themeColor="accent1" w:themeTint="99"/>
        <w:right w:val="single" w:sz="4" w:space="0" w:color="30D0F8" w:themeColor="accent1" w:themeTint="99"/>
        <w:insideH w:val="single" w:sz="4" w:space="0" w:color="30D0F8" w:themeColor="accent1" w:themeTint="99"/>
        <w:insideV w:val="single" w:sz="4" w:space="0" w:color="30D0F8" w:themeColor="accent1" w:themeTint="99"/>
      </w:tblBorders>
    </w:tblPr>
    <w:tblStylePr w:type="firstRow">
      <w:rPr>
        <w:b/>
        <w:bCs/>
        <w:color w:val="FFFEFF" w:themeColor="background1"/>
      </w:rPr>
      <w:tblPr/>
      <w:tcPr>
        <w:tcBorders>
          <w:top w:val="single" w:sz="4" w:space="0" w:color="057995" w:themeColor="accent1"/>
          <w:left w:val="single" w:sz="4" w:space="0" w:color="057995" w:themeColor="accent1"/>
          <w:bottom w:val="single" w:sz="4" w:space="0" w:color="057995" w:themeColor="accent1"/>
          <w:right w:val="single" w:sz="4" w:space="0" w:color="057995" w:themeColor="accent1"/>
          <w:insideH w:val="nil"/>
          <w:insideV w:val="nil"/>
        </w:tcBorders>
        <w:shd w:val="clear" w:color="auto" w:fill="057995" w:themeFill="accent1"/>
      </w:tcPr>
    </w:tblStylePr>
    <w:tblStylePr w:type="lastRow">
      <w:rPr>
        <w:b/>
        <w:bCs/>
      </w:rPr>
      <w:tblPr/>
      <w:tcPr>
        <w:tcBorders>
          <w:top w:val="double" w:sz="4" w:space="0" w:color="057995" w:themeColor="accent1"/>
        </w:tcBorders>
      </w:tcPr>
    </w:tblStylePr>
    <w:tblStylePr w:type="firstCol">
      <w:rPr>
        <w:b/>
        <w:bCs/>
      </w:rPr>
    </w:tblStylePr>
    <w:tblStylePr w:type="lastCol">
      <w:rPr>
        <w:b/>
        <w:bCs/>
      </w:rPr>
    </w:tblStylePr>
    <w:tblStylePr w:type="band1Vert">
      <w:tblPr/>
      <w:tcPr>
        <w:shd w:val="clear" w:color="auto" w:fill="B9EFFC" w:themeFill="accent1" w:themeFillTint="33"/>
      </w:tcPr>
    </w:tblStylePr>
    <w:tblStylePr w:type="band1Horz">
      <w:tblPr/>
      <w:tcPr>
        <w:shd w:val="clear" w:color="auto" w:fill="B9EFFC" w:themeFill="accent1" w:themeFillTint="33"/>
      </w:tcPr>
    </w:tblStylePr>
  </w:style>
  <w:style w:type="table" w:styleId="GridTable4-Accent5">
    <w:name w:val="Grid Table 4 Accent 5"/>
    <w:basedOn w:val="TableNormal"/>
    <w:uiPriority w:val="49"/>
    <w:rsid w:val="000C72C1"/>
    <w:pPr>
      <w:spacing w:after="0" w:line="240" w:lineRule="auto"/>
    </w:pPr>
    <w:tblPr>
      <w:tblStyleRowBandSize w:val="1"/>
      <w:tblStyleColBandSize w:val="1"/>
      <w:tblBorders>
        <w:top w:val="single" w:sz="4" w:space="0" w:color="30D0F8" w:themeColor="accent5" w:themeTint="99"/>
        <w:left w:val="single" w:sz="4" w:space="0" w:color="30D0F8" w:themeColor="accent5" w:themeTint="99"/>
        <w:bottom w:val="single" w:sz="4" w:space="0" w:color="30D0F8" w:themeColor="accent5" w:themeTint="99"/>
        <w:right w:val="single" w:sz="4" w:space="0" w:color="30D0F8" w:themeColor="accent5" w:themeTint="99"/>
        <w:insideH w:val="single" w:sz="4" w:space="0" w:color="30D0F8" w:themeColor="accent5" w:themeTint="99"/>
        <w:insideV w:val="single" w:sz="4" w:space="0" w:color="30D0F8" w:themeColor="accent5" w:themeTint="99"/>
      </w:tblBorders>
    </w:tblPr>
    <w:tblStylePr w:type="firstRow">
      <w:rPr>
        <w:b/>
        <w:bCs/>
        <w:color w:val="FFFEFF" w:themeColor="background1"/>
      </w:rPr>
      <w:tblPr/>
      <w:tcPr>
        <w:tcBorders>
          <w:top w:val="single" w:sz="4" w:space="0" w:color="057995" w:themeColor="accent5"/>
          <w:left w:val="single" w:sz="4" w:space="0" w:color="057995" w:themeColor="accent5"/>
          <w:bottom w:val="single" w:sz="4" w:space="0" w:color="057995" w:themeColor="accent5"/>
          <w:right w:val="single" w:sz="4" w:space="0" w:color="057995" w:themeColor="accent5"/>
          <w:insideH w:val="nil"/>
          <w:insideV w:val="nil"/>
        </w:tcBorders>
        <w:shd w:val="clear" w:color="auto" w:fill="057995" w:themeFill="accent5"/>
      </w:tcPr>
    </w:tblStylePr>
    <w:tblStylePr w:type="lastRow">
      <w:rPr>
        <w:b/>
        <w:bCs/>
      </w:rPr>
      <w:tblPr/>
      <w:tcPr>
        <w:tcBorders>
          <w:top w:val="double" w:sz="4" w:space="0" w:color="057995" w:themeColor="accent5"/>
        </w:tcBorders>
      </w:tcPr>
    </w:tblStylePr>
    <w:tblStylePr w:type="firstCol">
      <w:rPr>
        <w:b/>
        <w:bCs/>
      </w:rPr>
    </w:tblStylePr>
    <w:tblStylePr w:type="lastCol">
      <w:rPr>
        <w:b/>
        <w:bCs/>
      </w:rPr>
    </w:tblStylePr>
    <w:tblStylePr w:type="band1Vert">
      <w:tblPr/>
      <w:tcPr>
        <w:shd w:val="clear" w:color="auto" w:fill="B9EFFC" w:themeFill="accent5" w:themeFillTint="33"/>
      </w:tcPr>
    </w:tblStylePr>
    <w:tblStylePr w:type="band1Horz">
      <w:tblPr/>
      <w:tcPr>
        <w:shd w:val="clear" w:color="auto" w:fill="B9EFFC" w:themeFill="accent5" w:themeFillTint="33"/>
      </w:tcPr>
    </w:tblStylePr>
  </w:style>
  <w:style w:type="paragraph" w:styleId="Revision">
    <w:name w:val="Revision"/>
    <w:hidden/>
    <w:uiPriority w:val="99"/>
    <w:semiHidden/>
    <w:rsid w:val="000C72C1"/>
    <w:pPr>
      <w:spacing w:after="0" w:line="240" w:lineRule="auto"/>
    </w:pPr>
    <w:rPr>
      <w:rFonts w:eastAsiaTheme="minorEastAsia" w:cs="Gotham-Book"/>
      <w:color w:val="515151"/>
      <w:kern w:val="24"/>
      <w:sz w:val="22"/>
      <w:szCs w:val="22"/>
      <w:shd w:val="clear" w:color="auto" w:fill="FFFFFF"/>
      <w:lang w:val="en-US" w:eastAsia="ja-JP"/>
      <w14:ligatures w14:val="none"/>
    </w:rPr>
  </w:style>
  <w:style w:type="table" w:styleId="ListTable6Colorful-Accent4">
    <w:name w:val="List Table 6 Colorful Accent 4"/>
    <w:basedOn w:val="TableNormal"/>
    <w:uiPriority w:val="51"/>
    <w:rsid w:val="000C72C1"/>
    <w:pPr>
      <w:spacing w:after="0" w:line="240" w:lineRule="auto"/>
    </w:pPr>
    <w:rPr>
      <w:color w:val="A59480" w:themeColor="accent4" w:themeShade="BF"/>
    </w:rPr>
    <w:tblPr>
      <w:tblStyleRowBandSize w:val="1"/>
      <w:tblStyleColBandSize w:val="1"/>
      <w:tblBorders>
        <w:top w:val="single" w:sz="4" w:space="0" w:color="CEC5BA" w:themeColor="accent4"/>
        <w:bottom w:val="single" w:sz="4" w:space="0" w:color="CEC5BA" w:themeColor="accent4"/>
      </w:tblBorders>
    </w:tblPr>
    <w:tblStylePr w:type="firstRow">
      <w:rPr>
        <w:b/>
        <w:bCs/>
      </w:rPr>
      <w:tblPr/>
      <w:tcPr>
        <w:tcBorders>
          <w:bottom w:val="single" w:sz="4" w:space="0" w:color="CEC5BA" w:themeColor="accent4"/>
        </w:tcBorders>
      </w:tcPr>
    </w:tblStylePr>
    <w:tblStylePr w:type="lastRow">
      <w:rPr>
        <w:b/>
        <w:bCs/>
      </w:rPr>
      <w:tblPr/>
      <w:tcPr>
        <w:tcBorders>
          <w:top w:val="double" w:sz="4" w:space="0" w:color="CEC5BA" w:themeColor="accent4"/>
        </w:tcBorders>
      </w:tcPr>
    </w:tblStylePr>
    <w:tblStylePr w:type="firstCol">
      <w:rPr>
        <w:b/>
        <w:bCs/>
      </w:rPr>
    </w:tblStylePr>
    <w:tblStylePr w:type="lastCol">
      <w:rPr>
        <w:b/>
        <w:bCs/>
      </w:rPr>
    </w:tblStylePr>
    <w:tblStylePr w:type="band1Vert">
      <w:tblPr/>
      <w:tcPr>
        <w:shd w:val="clear" w:color="auto" w:fill="F5F3F1" w:themeFill="accent4" w:themeFillTint="33"/>
      </w:tcPr>
    </w:tblStylePr>
    <w:tblStylePr w:type="band1Horz">
      <w:tblPr/>
      <w:tcPr>
        <w:shd w:val="clear" w:color="auto" w:fill="F5F3F1" w:themeFill="accent4" w:themeFillTint="33"/>
      </w:tcPr>
    </w:tblStylePr>
  </w:style>
  <w:style w:type="table" w:styleId="ListTable5Dark-Accent1">
    <w:name w:val="List Table 5 Dark Accent 1"/>
    <w:basedOn w:val="TableNormal"/>
    <w:uiPriority w:val="50"/>
    <w:rsid w:val="000C72C1"/>
    <w:pPr>
      <w:spacing w:after="0" w:line="240" w:lineRule="auto"/>
    </w:pPr>
    <w:rPr>
      <w:color w:val="FFFEFF" w:themeColor="background1"/>
    </w:rPr>
    <w:tblPr>
      <w:tblStyleRowBandSize w:val="1"/>
      <w:tblStyleColBandSize w:val="1"/>
      <w:tblBorders>
        <w:top w:val="single" w:sz="24" w:space="0" w:color="057995" w:themeColor="accent1"/>
        <w:left w:val="single" w:sz="24" w:space="0" w:color="057995" w:themeColor="accent1"/>
        <w:bottom w:val="single" w:sz="24" w:space="0" w:color="057995" w:themeColor="accent1"/>
        <w:right w:val="single" w:sz="24" w:space="0" w:color="057995" w:themeColor="accent1"/>
      </w:tblBorders>
    </w:tblPr>
    <w:tcPr>
      <w:shd w:val="clear" w:color="auto" w:fill="057995" w:themeFill="accent1"/>
    </w:tcPr>
    <w:tblStylePr w:type="firstRow">
      <w:rPr>
        <w:b/>
        <w:bCs/>
      </w:rPr>
      <w:tblPr/>
      <w:tcPr>
        <w:tcBorders>
          <w:bottom w:val="single" w:sz="18" w:space="0" w:color="FFFEFF" w:themeColor="background1"/>
        </w:tcBorders>
      </w:tcPr>
    </w:tblStylePr>
    <w:tblStylePr w:type="lastRow">
      <w:rPr>
        <w:b/>
        <w:bCs/>
      </w:rPr>
      <w:tblPr/>
      <w:tcPr>
        <w:tcBorders>
          <w:top w:val="single" w:sz="4" w:space="0" w:color="FFFEFF" w:themeColor="background1"/>
        </w:tcBorders>
      </w:tcPr>
    </w:tblStylePr>
    <w:tblStylePr w:type="firstCol">
      <w:rPr>
        <w:b/>
        <w:bCs/>
      </w:rPr>
      <w:tblPr/>
      <w:tcPr>
        <w:tcBorders>
          <w:right w:val="single" w:sz="4" w:space="0" w:color="FFFEFF" w:themeColor="background1"/>
        </w:tcBorders>
      </w:tcPr>
    </w:tblStylePr>
    <w:tblStylePr w:type="lastCol">
      <w:rPr>
        <w:b/>
        <w:bCs/>
      </w:rPr>
      <w:tblPr/>
      <w:tcPr>
        <w:tcBorders>
          <w:left w:val="single" w:sz="4" w:space="0" w:color="FFFEFF" w:themeColor="background1"/>
        </w:tcBorders>
      </w:tcPr>
    </w:tblStylePr>
    <w:tblStylePr w:type="band1Vert">
      <w:tblPr/>
      <w:tcPr>
        <w:tcBorders>
          <w:left w:val="single" w:sz="4" w:space="0" w:color="FFFEFF" w:themeColor="background1"/>
          <w:right w:val="single" w:sz="4" w:space="0" w:color="FFFEFF" w:themeColor="background1"/>
        </w:tcBorders>
      </w:tcPr>
    </w:tblStylePr>
    <w:tblStylePr w:type="band2Vert">
      <w:tblPr/>
      <w:tcPr>
        <w:tcBorders>
          <w:left w:val="single" w:sz="4" w:space="0" w:color="FFFEFF" w:themeColor="background1"/>
          <w:right w:val="single" w:sz="4" w:space="0" w:color="FFFEFF" w:themeColor="background1"/>
        </w:tcBorders>
      </w:tcPr>
    </w:tblStylePr>
    <w:tblStylePr w:type="band1Horz">
      <w:tblPr/>
      <w:tcPr>
        <w:tcBorders>
          <w:top w:val="single" w:sz="4" w:space="0" w:color="FFFEFF" w:themeColor="background1"/>
          <w:bottom w:val="single" w:sz="4" w:space="0" w:color="FFFE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
    <w:name w:val="List Table 5 Dark"/>
    <w:basedOn w:val="TableNormal"/>
    <w:uiPriority w:val="50"/>
    <w:rsid w:val="000C72C1"/>
    <w:pPr>
      <w:spacing w:after="0" w:line="240" w:lineRule="auto"/>
    </w:pPr>
    <w:rPr>
      <w:color w:val="FFFEFF" w:themeColor="background1"/>
    </w:rPr>
    <w:tblPr>
      <w:tblStyleRowBandSize w:val="1"/>
      <w:tblStyleColBandSize w:val="1"/>
      <w:tblBorders>
        <w:top w:val="single" w:sz="24" w:space="0" w:color="057995" w:themeColor="text1"/>
        <w:left w:val="single" w:sz="24" w:space="0" w:color="057995" w:themeColor="text1"/>
        <w:bottom w:val="single" w:sz="24" w:space="0" w:color="057995" w:themeColor="text1"/>
        <w:right w:val="single" w:sz="24" w:space="0" w:color="057995" w:themeColor="text1"/>
      </w:tblBorders>
    </w:tblPr>
    <w:tcPr>
      <w:shd w:val="clear" w:color="auto" w:fill="057995" w:themeFill="text1"/>
    </w:tcPr>
    <w:tblStylePr w:type="firstRow">
      <w:rPr>
        <w:b/>
        <w:bCs/>
      </w:rPr>
      <w:tblPr/>
      <w:tcPr>
        <w:tcBorders>
          <w:bottom w:val="single" w:sz="18" w:space="0" w:color="FFFEFF" w:themeColor="background1"/>
        </w:tcBorders>
      </w:tcPr>
    </w:tblStylePr>
    <w:tblStylePr w:type="lastRow">
      <w:rPr>
        <w:b/>
        <w:bCs/>
      </w:rPr>
      <w:tblPr/>
      <w:tcPr>
        <w:tcBorders>
          <w:top w:val="single" w:sz="4" w:space="0" w:color="FFFEFF" w:themeColor="background1"/>
        </w:tcBorders>
      </w:tcPr>
    </w:tblStylePr>
    <w:tblStylePr w:type="firstCol">
      <w:rPr>
        <w:b/>
        <w:bCs/>
      </w:rPr>
      <w:tblPr/>
      <w:tcPr>
        <w:tcBorders>
          <w:right w:val="single" w:sz="4" w:space="0" w:color="FFFEFF" w:themeColor="background1"/>
        </w:tcBorders>
      </w:tcPr>
    </w:tblStylePr>
    <w:tblStylePr w:type="lastCol">
      <w:rPr>
        <w:b/>
        <w:bCs/>
      </w:rPr>
      <w:tblPr/>
      <w:tcPr>
        <w:tcBorders>
          <w:left w:val="single" w:sz="4" w:space="0" w:color="FFFEFF" w:themeColor="background1"/>
        </w:tcBorders>
      </w:tcPr>
    </w:tblStylePr>
    <w:tblStylePr w:type="band1Vert">
      <w:tblPr/>
      <w:tcPr>
        <w:tcBorders>
          <w:left w:val="single" w:sz="4" w:space="0" w:color="FFFEFF" w:themeColor="background1"/>
          <w:right w:val="single" w:sz="4" w:space="0" w:color="FFFEFF" w:themeColor="background1"/>
        </w:tcBorders>
      </w:tcPr>
    </w:tblStylePr>
    <w:tblStylePr w:type="band2Vert">
      <w:tblPr/>
      <w:tcPr>
        <w:tcBorders>
          <w:left w:val="single" w:sz="4" w:space="0" w:color="FFFEFF" w:themeColor="background1"/>
          <w:right w:val="single" w:sz="4" w:space="0" w:color="FFFEFF" w:themeColor="background1"/>
        </w:tcBorders>
      </w:tcPr>
    </w:tblStylePr>
    <w:tblStylePr w:type="band1Horz">
      <w:tblPr/>
      <w:tcPr>
        <w:tcBorders>
          <w:top w:val="single" w:sz="4" w:space="0" w:color="FFFEFF" w:themeColor="background1"/>
          <w:bottom w:val="single" w:sz="4" w:space="0" w:color="FFFE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C72C1"/>
    <w:pPr>
      <w:spacing w:after="0" w:line="240" w:lineRule="auto"/>
    </w:pPr>
    <w:rPr>
      <w:color w:val="FFFEFF" w:themeColor="background1"/>
    </w:rPr>
    <w:tblPr>
      <w:tblStyleRowBandSize w:val="1"/>
      <w:tblStyleColBandSize w:val="1"/>
      <w:tblBorders>
        <w:top w:val="single" w:sz="24" w:space="0" w:color="057995" w:themeColor="accent5"/>
        <w:left w:val="single" w:sz="24" w:space="0" w:color="057995" w:themeColor="accent5"/>
        <w:bottom w:val="single" w:sz="24" w:space="0" w:color="057995" w:themeColor="accent5"/>
        <w:right w:val="single" w:sz="24" w:space="0" w:color="057995" w:themeColor="accent5"/>
      </w:tblBorders>
    </w:tblPr>
    <w:tcPr>
      <w:shd w:val="clear" w:color="auto" w:fill="057995" w:themeFill="accent5"/>
    </w:tcPr>
    <w:tblStylePr w:type="firstRow">
      <w:rPr>
        <w:b/>
        <w:bCs/>
      </w:rPr>
      <w:tblPr/>
      <w:tcPr>
        <w:tcBorders>
          <w:bottom w:val="single" w:sz="18" w:space="0" w:color="FFFEFF" w:themeColor="background1"/>
        </w:tcBorders>
      </w:tcPr>
    </w:tblStylePr>
    <w:tblStylePr w:type="lastRow">
      <w:rPr>
        <w:b/>
        <w:bCs/>
      </w:rPr>
      <w:tblPr/>
      <w:tcPr>
        <w:tcBorders>
          <w:top w:val="single" w:sz="4" w:space="0" w:color="FFFEFF" w:themeColor="background1"/>
        </w:tcBorders>
      </w:tcPr>
    </w:tblStylePr>
    <w:tblStylePr w:type="firstCol">
      <w:rPr>
        <w:b/>
        <w:bCs/>
      </w:rPr>
      <w:tblPr/>
      <w:tcPr>
        <w:tcBorders>
          <w:right w:val="single" w:sz="4" w:space="0" w:color="FFFEFF" w:themeColor="background1"/>
        </w:tcBorders>
      </w:tcPr>
    </w:tblStylePr>
    <w:tblStylePr w:type="lastCol">
      <w:rPr>
        <w:b/>
        <w:bCs/>
      </w:rPr>
      <w:tblPr/>
      <w:tcPr>
        <w:tcBorders>
          <w:left w:val="single" w:sz="4" w:space="0" w:color="FFFEFF" w:themeColor="background1"/>
        </w:tcBorders>
      </w:tcPr>
    </w:tblStylePr>
    <w:tblStylePr w:type="band1Vert">
      <w:tblPr/>
      <w:tcPr>
        <w:tcBorders>
          <w:left w:val="single" w:sz="4" w:space="0" w:color="FFFEFF" w:themeColor="background1"/>
          <w:right w:val="single" w:sz="4" w:space="0" w:color="FFFEFF" w:themeColor="background1"/>
        </w:tcBorders>
      </w:tcPr>
    </w:tblStylePr>
    <w:tblStylePr w:type="band2Vert">
      <w:tblPr/>
      <w:tcPr>
        <w:tcBorders>
          <w:left w:val="single" w:sz="4" w:space="0" w:color="FFFEFF" w:themeColor="background1"/>
          <w:right w:val="single" w:sz="4" w:space="0" w:color="FFFEFF" w:themeColor="background1"/>
        </w:tcBorders>
      </w:tcPr>
    </w:tblStylePr>
    <w:tblStylePr w:type="band1Horz">
      <w:tblPr/>
      <w:tcPr>
        <w:tcBorders>
          <w:top w:val="single" w:sz="4" w:space="0" w:color="FFFEFF" w:themeColor="background1"/>
          <w:bottom w:val="single" w:sz="4" w:space="0" w:color="FFFE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6">
    <w:name w:val="List Table 4 Accent 6"/>
    <w:basedOn w:val="TableNormal"/>
    <w:uiPriority w:val="49"/>
    <w:rsid w:val="000C72C1"/>
    <w:pPr>
      <w:spacing w:after="0" w:line="240" w:lineRule="auto"/>
    </w:pPr>
    <w:tblPr>
      <w:tblStyleRowBandSize w:val="1"/>
      <w:tblStyleColBandSize w:val="1"/>
      <w:tblBorders>
        <w:top w:val="single" w:sz="4" w:space="0" w:color="188EE6" w:themeColor="accent6" w:themeTint="99"/>
        <w:left w:val="single" w:sz="4" w:space="0" w:color="188EE6" w:themeColor="accent6" w:themeTint="99"/>
        <w:bottom w:val="single" w:sz="4" w:space="0" w:color="188EE6" w:themeColor="accent6" w:themeTint="99"/>
        <w:right w:val="single" w:sz="4" w:space="0" w:color="188EE6" w:themeColor="accent6" w:themeTint="99"/>
        <w:insideH w:val="single" w:sz="4" w:space="0" w:color="188EE6" w:themeColor="accent6" w:themeTint="99"/>
      </w:tblBorders>
    </w:tblPr>
    <w:tblStylePr w:type="firstRow">
      <w:rPr>
        <w:b/>
        <w:bCs/>
        <w:color w:val="FFFEFF" w:themeColor="background1"/>
      </w:rPr>
      <w:tblPr/>
      <w:tcPr>
        <w:tcBorders>
          <w:top w:val="single" w:sz="4" w:space="0" w:color="082F4C" w:themeColor="accent6"/>
          <w:left w:val="single" w:sz="4" w:space="0" w:color="082F4C" w:themeColor="accent6"/>
          <w:bottom w:val="single" w:sz="4" w:space="0" w:color="082F4C" w:themeColor="accent6"/>
          <w:right w:val="single" w:sz="4" w:space="0" w:color="082F4C" w:themeColor="accent6"/>
          <w:insideH w:val="nil"/>
        </w:tcBorders>
        <w:shd w:val="clear" w:color="auto" w:fill="082F4C" w:themeFill="accent6"/>
      </w:tcPr>
    </w:tblStylePr>
    <w:tblStylePr w:type="lastRow">
      <w:rPr>
        <w:b/>
        <w:bCs/>
      </w:rPr>
      <w:tblPr/>
      <w:tcPr>
        <w:tcBorders>
          <w:top w:val="double" w:sz="4" w:space="0" w:color="188EE6" w:themeColor="accent6" w:themeTint="99"/>
        </w:tcBorders>
      </w:tcPr>
    </w:tblStylePr>
    <w:tblStylePr w:type="firstCol">
      <w:rPr>
        <w:b/>
        <w:bCs/>
      </w:rPr>
    </w:tblStylePr>
    <w:tblStylePr w:type="lastCol">
      <w:rPr>
        <w:b/>
        <w:bCs/>
      </w:rPr>
    </w:tblStylePr>
    <w:tblStylePr w:type="band1Vert">
      <w:tblPr/>
      <w:tcPr>
        <w:shd w:val="clear" w:color="auto" w:fill="B1D9F7" w:themeFill="accent6" w:themeFillTint="33"/>
      </w:tcPr>
    </w:tblStylePr>
    <w:tblStylePr w:type="band1Horz">
      <w:tblPr/>
      <w:tcPr>
        <w:shd w:val="clear" w:color="auto" w:fill="B1D9F7" w:themeFill="accent6" w:themeFillTint="33"/>
      </w:tcPr>
    </w:tblStylePr>
  </w:style>
  <w:style w:type="table" w:styleId="ListTable6Colorful">
    <w:name w:val="List Table 6 Colorful"/>
    <w:basedOn w:val="TableNormal"/>
    <w:uiPriority w:val="51"/>
    <w:rsid w:val="000C72C1"/>
    <w:pPr>
      <w:spacing w:after="0" w:line="240" w:lineRule="auto"/>
    </w:pPr>
    <w:rPr>
      <w:color w:val="057995" w:themeColor="text1"/>
    </w:rPr>
    <w:tblPr>
      <w:tblStyleRowBandSize w:val="1"/>
      <w:tblStyleColBandSize w:val="1"/>
      <w:tblBorders>
        <w:top w:val="single" w:sz="4" w:space="0" w:color="057995" w:themeColor="text1"/>
        <w:bottom w:val="single" w:sz="4" w:space="0" w:color="057995" w:themeColor="text1"/>
      </w:tblBorders>
    </w:tblPr>
    <w:tblStylePr w:type="firstRow">
      <w:rPr>
        <w:b/>
        <w:bCs/>
      </w:rPr>
      <w:tblPr/>
      <w:tcPr>
        <w:tcBorders>
          <w:bottom w:val="single" w:sz="4" w:space="0" w:color="057995" w:themeColor="text1"/>
        </w:tcBorders>
      </w:tcPr>
    </w:tblStylePr>
    <w:tblStylePr w:type="lastRow">
      <w:rPr>
        <w:b/>
        <w:bCs/>
      </w:rPr>
      <w:tblPr/>
      <w:tcPr>
        <w:tcBorders>
          <w:top w:val="double" w:sz="4" w:space="0" w:color="057995" w:themeColor="text1"/>
        </w:tcBorders>
      </w:tcPr>
    </w:tblStylePr>
    <w:tblStylePr w:type="firstCol">
      <w:rPr>
        <w:b/>
        <w:bCs/>
      </w:rPr>
    </w:tblStylePr>
    <w:tblStylePr w:type="lastCol">
      <w:rPr>
        <w:b/>
        <w:bCs/>
      </w:rPr>
    </w:tblStylePr>
    <w:tblStylePr w:type="band1Vert">
      <w:tblPr/>
      <w:tcPr>
        <w:shd w:val="clear" w:color="auto" w:fill="B9EFFC" w:themeFill="text1" w:themeFillTint="33"/>
      </w:tcPr>
    </w:tblStylePr>
    <w:tblStylePr w:type="band1Horz">
      <w:tblPr/>
      <w:tcPr>
        <w:shd w:val="clear" w:color="auto" w:fill="B9EFFC" w:themeFill="text1" w:themeFillTint="33"/>
      </w:tcPr>
    </w:tblStylePr>
  </w:style>
  <w:style w:type="table" w:styleId="ListTable7Colorful-Accent4">
    <w:name w:val="List Table 7 Colorful Accent 4"/>
    <w:basedOn w:val="TableNormal"/>
    <w:uiPriority w:val="52"/>
    <w:rsid w:val="000C72C1"/>
    <w:pPr>
      <w:spacing w:after="0" w:line="240" w:lineRule="auto"/>
    </w:pPr>
    <w:rPr>
      <w:color w:val="A5948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EC5BA" w:themeColor="accent4"/>
        </w:tcBorders>
        <w:shd w:val="clear" w:color="auto" w:fill="FFFEFF" w:themeFill="background1"/>
      </w:tcPr>
    </w:tblStylePr>
    <w:tblStylePr w:type="lastRow">
      <w:rPr>
        <w:rFonts w:asciiTheme="majorHAnsi" w:eastAsiaTheme="majorEastAsia" w:hAnsiTheme="majorHAnsi" w:cstheme="majorBidi"/>
        <w:i/>
        <w:iCs/>
        <w:sz w:val="26"/>
      </w:rPr>
      <w:tblPr/>
      <w:tcPr>
        <w:tcBorders>
          <w:top w:val="single" w:sz="4" w:space="0" w:color="CEC5BA" w:themeColor="accent4"/>
        </w:tcBorders>
        <w:shd w:val="clear" w:color="auto" w:fill="FFFE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EC5BA" w:themeColor="accent4"/>
        </w:tcBorders>
        <w:shd w:val="clear" w:color="auto" w:fill="FFFEFF" w:themeFill="background1"/>
      </w:tcPr>
    </w:tblStylePr>
    <w:tblStylePr w:type="lastCol">
      <w:rPr>
        <w:rFonts w:asciiTheme="majorHAnsi" w:eastAsiaTheme="majorEastAsia" w:hAnsiTheme="majorHAnsi" w:cstheme="majorBidi"/>
        <w:i/>
        <w:iCs/>
        <w:sz w:val="26"/>
      </w:rPr>
      <w:tblPr/>
      <w:tcPr>
        <w:tcBorders>
          <w:left w:val="single" w:sz="4" w:space="0" w:color="CEC5BA" w:themeColor="accent4"/>
        </w:tcBorders>
        <w:shd w:val="clear" w:color="auto" w:fill="FFFEFF" w:themeFill="background1"/>
      </w:tcPr>
    </w:tblStylePr>
    <w:tblStylePr w:type="band1Vert">
      <w:tblPr/>
      <w:tcPr>
        <w:shd w:val="clear" w:color="auto" w:fill="F5F3F1" w:themeFill="accent4" w:themeFillTint="33"/>
      </w:tcPr>
    </w:tblStylePr>
    <w:tblStylePr w:type="band1Horz">
      <w:tblPr/>
      <w:tcPr>
        <w:shd w:val="clear" w:color="auto" w:fill="F5F3F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4">
    <w:name w:val="Grid Table 3 Accent 4"/>
    <w:basedOn w:val="TableNormal"/>
    <w:uiPriority w:val="48"/>
    <w:rsid w:val="000C72C1"/>
    <w:pPr>
      <w:spacing w:after="0" w:line="240" w:lineRule="auto"/>
    </w:pPr>
    <w:tblPr>
      <w:tblStyleRowBandSize w:val="1"/>
      <w:tblStyleColBandSize w:val="1"/>
      <w:tblBorders>
        <w:top w:val="single" w:sz="4" w:space="0" w:color="E1DCD5" w:themeColor="accent4" w:themeTint="99"/>
        <w:left w:val="single" w:sz="4" w:space="0" w:color="E1DCD5" w:themeColor="accent4" w:themeTint="99"/>
        <w:bottom w:val="single" w:sz="4" w:space="0" w:color="E1DCD5" w:themeColor="accent4" w:themeTint="99"/>
        <w:right w:val="single" w:sz="4" w:space="0" w:color="E1DCD5" w:themeColor="accent4" w:themeTint="99"/>
        <w:insideH w:val="single" w:sz="4" w:space="0" w:color="E1DCD5" w:themeColor="accent4" w:themeTint="99"/>
        <w:insideV w:val="single" w:sz="4" w:space="0" w:color="E1DCD5" w:themeColor="accent4" w:themeTint="99"/>
      </w:tblBorders>
    </w:tblPr>
    <w:tblStylePr w:type="firstRow">
      <w:rPr>
        <w:b/>
        <w:bCs/>
      </w:rPr>
      <w:tblPr/>
      <w:tcPr>
        <w:tcBorders>
          <w:top w:val="nil"/>
          <w:left w:val="nil"/>
          <w:right w:val="nil"/>
          <w:insideH w:val="nil"/>
          <w:insideV w:val="nil"/>
        </w:tcBorders>
        <w:shd w:val="clear" w:color="auto" w:fill="FFFEFF" w:themeFill="background1"/>
      </w:tcPr>
    </w:tblStylePr>
    <w:tblStylePr w:type="lastRow">
      <w:rPr>
        <w:b/>
        <w:bCs/>
      </w:rPr>
      <w:tblPr/>
      <w:tcPr>
        <w:tcBorders>
          <w:left w:val="nil"/>
          <w:bottom w:val="nil"/>
          <w:right w:val="nil"/>
          <w:insideH w:val="nil"/>
          <w:insideV w:val="nil"/>
        </w:tcBorders>
        <w:shd w:val="clear" w:color="auto" w:fill="FFFEFF" w:themeFill="background1"/>
      </w:tcPr>
    </w:tblStylePr>
    <w:tblStylePr w:type="firstCol">
      <w:pPr>
        <w:jc w:val="right"/>
      </w:pPr>
      <w:rPr>
        <w:i/>
        <w:iCs/>
      </w:rPr>
      <w:tblPr/>
      <w:tcPr>
        <w:tcBorders>
          <w:top w:val="nil"/>
          <w:left w:val="nil"/>
          <w:bottom w:val="nil"/>
          <w:insideH w:val="nil"/>
          <w:insideV w:val="nil"/>
        </w:tcBorders>
        <w:shd w:val="clear" w:color="auto" w:fill="FFFEFF" w:themeFill="background1"/>
      </w:tcPr>
    </w:tblStylePr>
    <w:tblStylePr w:type="lastCol">
      <w:rPr>
        <w:i/>
        <w:iCs/>
      </w:rPr>
      <w:tblPr/>
      <w:tcPr>
        <w:tcBorders>
          <w:top w:val="nil"/>
          <w:bottom w:val="nil"/>
          <w:right w:val="nil"/>
          <w:insideH w:val="nil"/>
          <w:insideV w:val="nil"/>
        </w:tcBorders>
        <w:shd w:val="clear" w:color="auto" w:fill="FFFEFF" w:themeFill="background1"/>
      </w:tcPr>
    </w:tblStylePr>
    <w:tblStylePr w:type="band1Vert">
      <w:tblPr/>
      <w:tcPr>
        <w:shd w:val="clear" w:color="auto" w:fill="F5F3F1" w:themeFill="accent4" w:themeFillTint="33"/>
      </w:tcPr>
    </w:tblStylePr>
    <w:tblStylePr w:type="band1Horz">
      <w:tblPr/>
      <w:tcPr>
        <w:shd w:val="clear" w:color="auto" w:fill="F5F3F1" w:themeFill="accent4" w:themeFillTint="33"/>
      </w:tcPr>
    </w:tblStylePr>
    <w:tblStylePr w:type="neCell">
      <w:tblPr/>
      <w:tcPr>
        <w:tcBorders>
          <w:bottom w:val="single" w:sz="4" w:space="0" w:color="E1DCD5" w:themeColor="accent4" w:themeTint="99"/>
        </w:tcBorders>
      </w:tcPr>
    </w:tblStylePr>
    <w:tblStylePr w:type="nwCell">
      <w:tblPr/>
      <w:tcPr>
        <w:tcBorders>
          <w:bottom w:val="single" w:sz="4" w:space="0" w:color="E1DCD5" w:themeColor="accent4" w:themeTint="99"/>
        </w:tcBorders>
      </w:tcPr>
    </w:tblStylePr>
    <w:tblStylePr w:type="seCell">
      <w:tblPr/>
      <w:tcPr>
        <w:tcBorders>
          <w:top w:val="single" w:sz="4" w:space="0" w:color="E1DCD5" w:themeColor="accent4" w:themeTint="99"/>
        </w:tcBorders>
      </w:tcPr>
    </w:tblStylePr>
    <w:tblStylePr w:type="swCell">
      <w:tblPr/>
      <w:tcPr>
        <w:tcBorders>
          <w:top w:val="single" w:sz="4" w:space="0" w:color="E1DCD5" w:themeColor="accent4" w:themeTint="99"/>
        </w:tcBorders>
      </w:tcPr>
    </w:tblStylePr>
  </w:style>
  <w:style w:type="table" w:styleId="PlainTable3">
    <w:name w:val="Plain Table 3"/>
    <w:basedOn w:val="TableNormal"/>
    <w:uiPriority w:val="43"/>
    <w:rsid w:val="002B7FEC"/>
    <w:pPr>
      <w:spacing w:after="0" w:line="240" w:lineRule="auto"/>
    </w:pPr>
    <w:tblPr>
      <w:tblStyleRowBandSize w:val="1"/>
      <w:tblStyleColBandSize w:val="1"/>
    </w:tblPr>
    <w:tblStylePr w:type="firstRow">
      <w:rPr>
        <w:b/>
        <w:bCs/>
        <w:caps/>
      </w:rPr>
      <w:tblPr/>
      <w:tcPr>
        <w:tcBorders>
          <w:bottom w:val="single" w:sz="4" w:space="0" w:color="51D8F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1D8F9" w:themeColor="text1" w:themeTint="80"/>
        </w:tcBorders>
      </w:tcPr>
    </w:tblStylePr>
    <w:tblStylePr w:type="lastCol">
      <w:rPr>
        <w:b/>
        <w:bCs/>
        <w:caps/>
      </w:rPr>
      <w:tblPr/>
      <w:tcPr>
        <w:tcBorders>
          <w:left w:val="nil"/>
        </w:tcBorders>
      </w:tcPr>
    </w:tblStylePr>
    <w:tblStylePr w:type="band1Vert">
      <w:tblPr/>
      <w:tcPr>
        <w:shd w:val="clear" w:color="auto" w:fill="FFE4FF" w:themeFill="background1" w:themeFillShade="F2"/>
      </w:tcPr>
    </w:tblStylePr>
    <w:tblStylePr w:type="band1Horz">
      <w:tblPr/>
      <w:tcPr>
        <w:shd w:val="clear" w:color="auto" w:fill="FFE4FF"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4">
    <w:name w:val="Grid Table 1 Light Accent 4"/>
    <w:basedOn w:val="TableNormal"/>
    <w:uiPriority w:val="46"/>
    <w:rsid w:val="002B7FEC"/>
    <w:pPr>
      <w:spacing w:after="0" w:line="240" w:lineRule="auto"/>
    </w:pPr>
    <w:tblPr>
      <w:tblStyleRowBandSize w:val="1"/>
      <w:tblStyleColBandSize w:val="1"/>
      <w:tblBorders>
        <w:top w:val="single" w:sz="4" w:space="0" w:color="EBE7E3" w:themeColor="accent4" w:themeTint="66"/>
        <w:left w:val="single" w:sz="4" w:space="0" w:color="EBE7E3" w:themeColor="accent4" w:themeTint="66"/>
        <w:bottom w:val="single" w:sz="4" w:space="0" w:color="EBE7E3" w:themeColor="accent4" w:themeTint="66"/>
        <w:right w:val="single" w:sz="4" w:space="0" w:color="EBE7E3" w:themeColor="accent4" w:themeTint="66"/>
        <w:insideH w:val="single" w:sz="4" w:space="0" w:color="EBE7E3" w:themeColor="accent4" w:themeTint="66"/>
        <w:insideV w:val="single" w:sz="4" w:space="0" w:color="EBE7E3" w:themeColor="accent4" w:themeTint="66"/>
      </w:tblBorders>
    </w:tblPr>
    <w:tblStylePr w:type="firstRow">
      <w:rPr>
        <w:b/>
        <w:bCs/>
      </w:rPr>
      <w:tblPr/>
      <w:tcPr>
        <w:tcBorders>
          <w:bottom w:val="single" w:sz="12" w:space="0" w:color="E1DCD5" w:themeColor="accent4" w:themeTint="99"/>
        </w:tcBorders>
      </w:tcPr>
    </w:tblStylePr>
    <w:tblStylePr w:type="lastRow">
      <w:rPr>
        <w:b/>
        <w:bCs/>
      </w:rPr>
      <w:tblPr/>
      <w:tcPr>
        <w:tcBorders>
          <w:top w:val="double" w:sz="2" w:space="0" w:color="E1DCD5" w:themeColor="accent4" w:themeTint="99"/>
        </w:tcBorders>
      </w:tcPr>
    </w:tblStylePr>
    <w:tblStylePr w:type="firstCol">
      <w:rPr>
        <w:b/>
        <w:bCs/>
      </w:rPr>
    </w:tblStylePr>
    <w:tblStylePr w:type="lastCol">
      <w:rPr>
        <w:b/>
        <w:bCs/>
      </w:rPr>
    </w:tblStylePr>
  </w:style>
  <w:style w:type="table" w:styleId="ListTable3">
    <w:name w:val="List Table 3"/>
    <w:basedOn w:val="TableNormal"/>
    <w:uiPriority w:val="48"/>
    <w:rsid w:val="002B7FEC"/>
    <w:pPr>
      <w:spacing w:after="0" w:line="240" w:lineRule="auto"/>
    </w:pPr>
    <w:tblPr>
      <w:tblStyleRowBandSize w:val="1"/>
      <w:tblStyleColBandSize w:val="1"/>
      <w:tblBorders>
        <w:top w:val="single" w:sz="4" w:space="0" w:color="057995" w:themeColor="text1"/>
        <w:left w:val="single" w:sz="4" w:space="0" w:color="057995" w:themeColor="text1"/>
        <w:bottom w:val="single" w:sz="4" w:space="0" w:color="057995" w:themeColor="text1"/>
        <w:right w:val="single" w:sz="4" w:space="0" w:color="057995" w:themeColor="text1"/>
      </w:tblBorders>
    </w:tblPr>
    <w:tblStylePr w:type="firstRow">
      <w:rPr>
        <w:b/>
        <w:bCs/>
        <w:color w:val="FFFEFF" w:themeColor="background1"/>
      </w:rPr>
      <w:tblPr/>
      <w:tcPr>
        <w:shd w:val="clear" w:color="auto" w:fill="057995" w:themeFill="text1"/>
      </w:tcPr>
    </w:tblStylePr>
    <w:tblStylePr w:type="lastRow">
      <w:rPr>
        <w:b/>
        <w:bCs/>
      </w:rPr>
      <w:tblPr/>
      <w:tcPr>
        <w:tcBorders>
          <w:top w:val="double" w:sz="4" w:space="0" w:color="057995" w:themeColor="text1"/>
        </w:tcBorders>
        <w:shd w:val="clear" w:color="auto" w:fill="FFFEFF" w:themeFill="background1"/>
      </w:tcPr>
    </w:tblStylePr>
    <w:tblStylePr w:type="firstCol">
      <w:rPr>
        <w:b/>
        <w:bCs/>
      </w:rPr>
      <w:tblPr/>
      <w:tcPr>
        <w:tcBorders>
          <w:right w:val="nil"/>
        </w:tcBorders>
        <w:shd w:val="clear" w:color="auto" w:fill="FFFEFF" w:themeFill="background1"/>
      </w:tcPr>
    </w:tblStylePr>
    <w:tblStylePr w:type="lastCol">
      <w:rPr>
        <w:b/>
        <w:bCs/>
      </w:rPr>
      <w:tblPr/>
      <w:tcPr>
        <w:tcBorders>
          <w:left w:val="nil"/>
        </w:tcBorders>
        <w:shd w:val="clear" w:color="auto" w:fill="FFFEFF" w:themeFill="background1"/>
      </w:tcPr>
    </w:tblStylePr>
    <w:tblStylePr w:type="band1Vert">
      <w:tblPr/>
      <w:tcPr>
        <w:tcBorders>
          <w:left w:val="single" w:sz="4" w:space="0" w:color="057995" w:themeColor="text1"/>
          <w:right w:val="single" w:sz="4" w:space="0" w:color="057995" w:themeColor="text1"/>
        </w:tcBorders>
      </w:tcPr>
    </w:tblStylePr>
    <w:tblStylePr w:type="band1Horz">
      <w:tblPr/>
      <w:tcPr>
        <w:tcBorders>
          <w:top w:val="single" w:sz="4" w:space="0" w:color="057995" w:themeColor="text1"/>
          <w:bottom w:val="single" w:sz="4" w:space="0" w:color="057995"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7995" w:themeColor="text1"/>
          <w:left w:val="nil"/>
        </w:tcBorders>
      </w:tcPr>
    </w:tblStylePr>
    <w:tblStylePr w:type="swCell">
      <w:tblPr/>
      <w:tcPr>
        <w:tcBorders>
          <w:top w:val="double" w:sz="4" w:space="0" w:color="057995" w:themeColor="text1"/>
          <w:right w:val="nil"/>
        </w:tcBorders>
      </w:tcPr>
    </w:tblStylePr>
  </w:style>
  <w:style w:type="table" w:styleId="GridTable1Light-Accent1">
    <w:name w:val="Grid Table 1 Light Accent 1"/>
    <w:basedOn w:val="TableNormal"/>
    <w:uiPriority w:val="46"/>
    <w:rsid w:val="002B7FEC"/>
    <w:pPr>
      <w:spacing w:after="0" w:line="240" w:lineRule="auto"/>
    </w:pPr>
    <w:tblPr>
      <w:tblStyleRowBandSize w:val="1"/>
      <w:tblStyleColBandSize w:val="1"/>
      <w:tblBorders>
        <w:top w:val="single" w:sz="4" w:space="0" w:color="74E0FA" w:themeColor="accent1" w:themeTint="66"/>
        <w:left w:val="single" w:sz="4" w:space="0" w:color="74E0FA" w:themeColor="accent1" w:themeTint="66"/>
        <w:bottom w:val="single" w:sz="4" w:space="0" w:color="74E0FA" w:themeColor="accent1" w:themeTint="66"/>
        <w:right w:val="single" w:sz="4" w:space="0" w:color="74E0FA" w:themeColor="accent1" w:themeTint="66"/>
        <w:insideH w:val="single" w:sz="4" w:space="0" w:color="74E0FA" w:themeColor="accent1" w:themeTint="66"/>
        <w:insideV w:val="single" w:sz="4" w:space="0" w:color="74E0FA" w:themeColor="accent1" w:themeTint="66"/>
      </w:tblBorders>
    </w:tblPr>
    <w:tblStylePr w:type="firstRow">
      <w:rPr>
        <w:b/>
        <w:bCs/>
      </w:rPr>
      <w:tblPr/>
      <w:tcPr>
        <w:tcBorders>
          <w:bottom w:val="single" w:sz="12" w:space="0" w:color="30D0F8" w:themeColor="accent1" w:themeTint="99"/>
        </w:tcBorders>
      </w:tcPr>
    </w:tblStylePr>
    <w:tblStylePr w:type="lastRow">
      <w:rPr>
        <w:b/>
        <w:bCs/>
      </w:rPr>
      <w:tblPr/>
      <w:tcPr>
        <w:tcBorders>
          <w:top w:val="double" w:sz="2" w:space="0" w:color="30D0F8" w:themeColor="accent1" w:themeTint="99"/>
        </w:tcBorders>
      </w:tcPr>
    </w:tblStylePr>
    <w:tblStylePr w:type="firstCol">
      <w:rPr>
        <w:b/>
        <w:bCs/>
      </w:rPr>
    </w:tblStylePr>
    <w:tblStylePr w:type="lastCol">
      <w:rPr>
        <w:b/>
        <w:bCs/>
      </w:rPr>
    </w:tblStylePr>
  </w:style>
  <w:style w:type="paragraph" w:customStyle="1" w:styleId="Table">
    <w:name w:val="Table"/>
    <w:basedOn w:val="Normal"/>
    <w:qFormat/>
    <w:rsid w:val="00ED651F"/>
    <w:pPr>
      <w:tabs>
        <w:tab w:val="left" w:pos="1701"/>
      </w:tabs>
      <w:spacing w:before="120" w:after="120"/>
    </w:pPr>
    <w:rPr>
      <w:rFonts w:ascii="Aptos" w:eastAsiaTheme="minorHAnsi" w:hAnsi="Aptos"/>
      <w:b/>
      <w:bCs/>
      <w:color w:val="FFFEFF" w:themeColor="background1"/>
      <w:lang w:val="en-GB"/>
    </w:rPr>
  </w:style>
  <w:style w:type="paragraph" w:customStyle="1" w:styleId="TableText">
    <w:name w:val="Table Text"/>
    <w:basedOn w:val="Normal"/>
    <w:qFormat/>
    <w:rsid w:val="007E5BB8"/>
    <w:pPr>
      <w:spacing w:before="120" w:after="120"/>
    </w:pPr>
    <w:rPr>
      <w:rFonts w:ascii="Aptos" w:hAnsi="Aptos"/>
      <w:sz w:val="20"/>
      <w:szCs w:val="20"/>
    </w:rPr>
  </w:style>
  <w:style w:type="paragraph" w:styleId="FootnoteText">
    <w:name w:val="footnote text"/>
    <w:basedOn w:val="Normal"/>
    <w:link w:val="FootnoteTextChar"/>
    <w:uiPriority w:val="99"/>
    <w:unhideWhenUsed/>
    <w:rsid w:val="00ED651F"/>
    <w:pPr>
      <w:spacing w:after="0"/>
    </w:pPr>
    <w:rPr>
      <w:sz w:val="20"/>
      <w:szCs w:val="20"/>
    </w:rPr>
  </w:style>
  <w:style w:type="character" w:customStyle="1" w:styleId="FootnoteTextChar">
    <w:name w:val="Footnote Text Char"/>
    <w:basedOn w:val="DefaultParagraphFont"/>
    <w:link w:val="FootnoteText"/>
    <w:uiPriority w:val="99"/>
    <w:rsid w:val="00ED651F"/>
    <w:rPr>
      <w:rFonts w:eastAsiaTheme="minorEastAsia" w:cs="Gotham-Book"/>
      <w:color w:val="515151"/>
      <w:kern w:val="24"/>
      <w:sz w:val="20"/>
      <w:szCs w:val="20"/>
      <w:lang w:val="en-US" w:eastAsia="ja-JP"/>
      <w14:ligatures w14:val="none"/>
    </w:rPr>
  </w:style>
  <w:style w:type="character" w:styleId="FootnoteReference">
    <w:name w:val="footnote reference"/>
    <w:basedOn w:val="DefaultParagraphFont"/>
    <w:uiPriority w:val="99"/>
    <w:semiHidden/>
    <w:unhideWhenUsed/>
    <w:rsid w:val="00FA5325"/>
    <w:rPr>
      <w:vertAlign w:val="superscript"/>
    </w:rPr>
  </w:style>
  <w:style w:type="character" w:styleId="SubtleReference">
    <w:name w:val="Subtle Reference"/>
    <w:basedOn w:val="DefaultParagraphFont"/>
    <w:uiPriority w:val="31"/>
    <w:qFormat/>
    <w:rsid w:val="00FF270B"/>
    <w:rPr>
      <w:smallCaps/>
      <w:color w:val="057995" w:themeColor="text1"/>
    </w:rPr>
  </w:style>
  <w:style w:type="paragraph" w:styleId="BodyText">
    <w:name w:val="Body Text"/>
    <w:basedOn w:val="Normal"/>
    <w:link w:val="BodyTextChar"/>
    <w:uiPriority w:val="99"/>
    <w:unhideWhenUsed/>
    <w:rsid w:val="00B84943"/>
    <w:pPr>
      <w:spacing w:after="120"/>
    </w:pPr>
  </w:style>
  <w:style w:type="character" w:customStyle="1" w:styleId="BodyTextChar">
    <w:name w:val="Body Text Char"/>
    <w:basedOn w:val="DefaultParagraphFont"/>
    <w:link w:val="BodyText"/>
    <w:uiPriority w:val="99"/>
    <w:rsid w:val="00B84943"/>
    <w:rPr>
      <w:rFonts w:ascii="Calibri" w:eastAsiaTheme="minorEastAsia" w:hAnsi="Calibri"/>
      <w:kern w:val="0"/>
      <w:sz w:val="19"/>
      <w:szCs w:val="22"/>
      <w:lang w:val="en-US"/>
      <w14:ligatures w14:val="none"/>
    </w:rPr>
  </w:style>
  <w:style w:type="paragraph" w:styleId="BodyText2">
    <w:name w:val="Body Text 2"/>
    <w:basedOn w:val="Normal"/>
    <w:link w:val="BodyText2Char"/>
    <w:uiPriority w:val="99"/>
    <w:unhideWhenUsed/>
    <w:rsid w:val="00B84943"/>
    <w:pPr>
      <w:spacing w:after="120" w:line="480" w:lineRule="auto"/>
    </w:pPr>
  </w:style>
  <w:style w:type="character" w:customStyle="1" w:styleId="BodyText2Char">
    <w:name w:val="Body Text 2 Char"/>
    <w:basedOn w:val="DefaultParagraphFont"/>
    <w:link w:val="BodyText2"/>
    <w:uiPriority w:val="99"/>
    <w:rsid w:val="00B84943"/>
    <w:rPr>
      <w:rFonts w:ascii="Calibri" w:eastAsiaTheme="minorEastAsia" w:hAnsi="Calibri"/>
      <w:kern w:val="0"/>
      <w:sz w:val="19"/>
      <w:szCs w:val="22"/>
      <w:lang w:val="en-US"/>
      <w14:ligatures w14:val="none"/>
    </w:rPr>
  </w:style>
  <w:style w:type="paragraph" w:styleId="BodyText3">
    <w:name w:val="Body Text 3"/>
    <w:basedOn w:val="Normal"/>
    <w:link w:val="BodyText3Char"/>
    <w:uiPriority w:val="99"/>
    <w:unhideWhenUsed/>
    <w:rsid w:val="00B84943"/>
    <w:pPr>
      <w:spacing w:after="120"/>
    </w:pPr>
    <w:rPr>
      <w:sz w:val="16"/>
      <w:szCs w:val="16"/>
    </w:rPr>
  </w:style>
  <w:style w:type="character" w:customStyle="1" w:styleId="BodyText3Char">
    <w:name w:val="Body Text 3 Char"/>
    <w:basedOn w:val="DefaultParagraphFont"/>
    <w:link w:val="BodyText3"/>
    <w:uiPriority w:val="99"/>
    <w:rsid w:val="00B84943"/>
    <w:rPr>
      <w:rFonts w:ascii="Calibri" w:eastAsiaTheme="minorEastAsia" w:hAnsi="Calibri"/>
      <w:kern w:val="0"/>
      <w:sz w:val="16"/>
      <w:szCs w:val="16"/>
      <w:lang w:val="en-US"/>
      <w14:ligatures w14:val="none"/>
    </w:rPr>
  </w:style>
  <w:style w:type="paragraph" w:styleId="ListNumber2">
    <w:name w:val="List Number 2"/>
    <w:basedOn w:val="Normal"/>
    <w:uiPriority w:val="99"/>
    <w:unhideWhenUsed/>
    <w:rsid w:val="00B84943"/>
    <w:pPr>
      <w:numPr>
        <w:numId w:val="13"/>
      </w:numPr>
      <w:tabs>
        <w:tab w:val="clear" w:pos="720"/>
      </w:tabs>
      <w:ind w:left="0" w:firstLine="0"/>
      <w:contextualSpacing/>
    </w:pPr>
  </w:style>
  <w:style w:type="paragraph" w:styleId="ListNumber3">
    <w:name w:val="List Number 3"/>
    <w:basedOn w:val="Normal"/>
    <w:uiPriority w:val="99"/>
    <w:unhideWhenUsed/>
    <w:rsid w:val="00B84943"/>
    <w:pPr>
      <w:numPr>
        <w:numId w:val="14"/>
      </w:numPr>
      <w:tabs>
        <w:tab w:val="clear" w:pos="1080"/>
      </w:tabs>
      <w:ind w:left="0" w:firstLine="0"/>
      <w:contextualSpacing/>
    </w:pPr>
  </w:style>
  <w:style w:type="paragraph" w:styleId="ListContinue2">
    <w:name w:val="List Continue 2"/>
    <w:basedOn w:val="Normal"/>
    <w:uiPriority w:val="99"/>
    <w:unhideWhenUsed/>
    <w:rsid w:val="00B84943"/>
    <w:pPr>
      <w:spacing w:after="120"/>
      <w:ind w:left="720"/>
      <w:contextualSpacing/>
    </w:pPr>
  </w:style>
  <w:style w:type="paragraph" w:styleId="ListContinue3">
    <w:name w:val="List Continue 3"/>
    <w:basedOn w:val="Normal"/>
    <w:uiPriority w:val="99"/>
    <w:unhideWhenUsed/>
    <w:rsid w:val="00B84943"/>
    <w:pPr>
      <w:spacing w:after="120"/>
      <w:ind w:left="1080"/>
      <w:contextualSpacing/>
    </w:pPr>
  </w:style>
  <w:style w:type="character" w:styleId="IntenseReference">
    <w:name w:val="Intense Reference"/>
    <w:basedOn w:val="DefaultParagraphFont"/>
    <w:uiPriority w:val="32"/>
    <w:qFormat/>
    <w:rsid w:val="00B84943"/>
    <w:rPr>
      <w:b/>
      <w:bCs/>
      <w:smallCaps/>
      <w:color w:val="082F4C" w:themeColor="accent2"/>
      <w:spacing w:val="5"/>
      <w:u w:val="single"/>
    </w:rPr>
  </w:style>
  <w:style w:type="table" w:styleId="LightShading">
    <w:name w:val="Light Shading"/>
    <w:basedOn w:val="TableNormal"/>
    <w:uiPriority w:val="60"/>
    <w:rsid w:val="00B84943"/>
    <w:pPr>
      <w:spacing w:after="0" w:line="240" w:lineRule="auto"/>
    </w:pPr>
    <w:rPr>
      <w:rFonts w:eastAsiaTheme="minorEastAsia"/>
      <w:color w:val="035A6F" w:themeColor="text1" w:themeShade="BF"/>
      <w:kern w:val="0"/>
      <w:sz w:val="22"/>
      <w:szCs w:val="22"/>
      <w:lang w:val="en-US"/>
      <w14:ligatures w14:val="none"/>
    </w:rPr>
    <w:tblPr>
      <w:tblStyleRowBandSize w:val="1"/>
      <w:tblStyleColBandSize w:val="1"/>
      <w:tblBorders>
        <w:top w:val="single" w:sz="8" w:space="0" w:color="057995" w:themeColor="text1"/>
        <w:bottom w:val="single" w:sz="8" w:space="0" w:color="057995" w:themeColor="text1"/>
      </w:tblBorders>
    </w:tblPr>
    <w:tblStylePr w:type="firstRow">
      <w:pPr>
        <w:spacing w:before="0" w:after="0" w:line="240" w:lineRule="auto"/>
      </w:pPr>
      <w:rPr>
        <w:b/>
        <w:bCs/>
      </w:rPr>
      <w:tblPr/>
      <w:tcPr>
        <w:tcBorders>
          <w:top w:val="single" w:sz="8" w:space="0" w:color="057995" w:themeColor="text1"/>
          <w:left w:val="nil"/>
          <w:bottom w:val="single" w:sz="8" w:space="0" w:color="057995" w:themeColor="text1"/>
          <w:right w:val="nil"/>
          <w:insideH w:val="nil"/>
          <w:insideV w:val="nil"/>
        </w:tcBorders>
      </w:tcPr>
    </w:tblStylePr>
    <w:tblStylePr w:type="lastRow">
      <w:pPr>
        <w:spacing w:before="0" w:after="0" w:line="240" w:lineRule="auto"/>
      </w:pPr>
      <w:rPr>
        <w:b/>
        <w:bCs/>
      </w:rPr>
      <w:tblPr/>
      <w:tcPr>
        <w:tcBorders>
          <w:top w:val="single" w:sz="8" w:space="0" w:color="057995" w:themeColor="text1"/>
          <w:left w:val="nil"/>
          <w:bottom w:val="single" w:sz="8" w:space="0" w:color="057995"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ECFC" w:themeFill="text1" w:themeFillTint="3F"/>
      </w:tcPr>
    </w:tblStylePr>
    <w:tblStylePr w:type="band1Horz">
      <w:tblPr/>
      <w:tcPr>
        <w:tcBorders>
          <w:left w:val="nil"/>
          <w:right w:val="nil"/>
          <w:insideH w:val="nil"/>
          <w:insideV w:val="nil"/>
        </w:tcBorders>
        <w:shd w:val="clear" w:color="auto" w:fill="A9ECFC" w:themeFill="text1" w:themeFillTint="3F"/>
      </w:tcPr>
    </w:tblStylePr>
  </w:style>
  <w:style w:type="table" w:styleId="LightShading-Accent1">
    <w:name w:val="Light Shading Accent 1"/>
    <w:basedOn w:val="TableNormal"/>
    <w:uiPriority w:val="60"/>
    <w:rsid w:val="00B84943"/>
    <w:pPr>
      <w:spacing w:after="0" w:line="240" w:lineRule="auto"/>
    </w:pPr>
    <w:rPr>
      <w:rFonts w:eastAsiaTheme="minorEastAsia"/>
      <w:color w:val="035A6F" w:themeColor="accent1" w:themeShade="BF"/>
      <w:kern w:val="0"/>
      <w:sz w:val="22"/>
      <w:szCs w:val="22"/>
      <w:lang w:val="en-US"/>
      <w14:ligatures w14:val="none"/>
    </w:rPr>
    <w:tblPr>
      <w:tblStyleRowBandSize w:val="1"/>
      <w:tblStyleColBandSize w:val="1"/>
      <w:tblBorders>
        <w:top w:val="single" w:sz="8" w:space="0" w:color="057995" w:themeColor="accent1"/>
        <w:bottom w:val="single" w:sz="8" w:space="0" w:color="057995" w:themeColor="accent1"/>
      </w:tblBorders>
    </w:tblPr>
    <w:tblStylePr w:type="firstRow">
      <w:pPr>
        <w:spacing w:before="0" w:after="0" w:line="240" w:lineRule="auto"/>
      </w:pPr>
      <w:rPr>
        <w:b/>
        <w:bCs/>
      </w:rPr>
      <w:tblPr/>
      <w:tcPr>
        <w:tcBorders>
          <w:top w:val="single" w:sz="8" w:space="0" w:color="057995" w:themeColor="accent1"/>
          <w:left w:val="nil"/>
          <w:bottom w:val="single" w:sz="8" w:space="0" w:color="057995" w:themeColor="accent1"/>
          <w:right w:val="nil"/>
          <w:insideH w:val="nil"/>
          <w:insideV w:val="nil"/>
        </w:tcBorders>
      </w:tcPr>
    </w:tblStylePr>
    <w:tblStylePr w:type="lastRow">
      <w:pPr>
        <w:spacing w:before="0" w:after="0" w:line="240" w:lineRule="auto"/>
      </w:pPr>
      <w:rPr>
        <w:b/>
        <w:bCs/>
      </w:rPr>
      <w:tblPr/>
      <w:tcPr>
        <w:tcBorders>
          <w:top w:val="single" w:sz="8" w:space="0" w:color="057995" w:themeColor="accent1"/>
          <w:left w:val="nil"/>
          <w:bottom w:val="single" w:sz="8" w:space="0" w:color="05799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ECFC" w:themeFill="accent1" w:themeFillTint="3F"/>
      </w:tcPr>
    </w:tblStylePr>
    <w:tblStylePr w:type="band1Horz">
      <w:tblPr/>
      <w:tcPr>
        <w:tcBorders>
          <w:left w:val="nil"/>
          <w:right w:val="nil"/>
          <w:insideH w:val="nil"/>
          <w:insideV w:val="nil"/>
        </w:tcBorders>
        <w:shd w:val="clear" w:color="auto" w:fill="A9ECFC" w:themeFill="accent1" w:themeFillTint="3F"/>
      </w:tcPr>
    </w:tblStylePr>
  </w:style>
  <w:style w:type="table" w:styleId="LightShading-Accent2">
    <w:name w:val="Light Shading Accent 2"/>
    <w:basedOn w:val="TableNormal"/>
    <w:uiPriority w:val="60"/>
    <w:rsid w:val="00B84943"/>
    <w:pPr>
      <w:spacing w:after="0" w:line="240" w:lineRule="auto"/>
    </w:pPr>
    <w:rPr>
      <w:rFonts w:eastAsiaTheme="minorEastAsia"/>
      <w:color w:val="062338" w:themeColor="accent2" w:themeShade="BF"/>
      <w:kern w:val="0"/>
      <w:sz w:val="22"/>
      <w:szCs w:val="22"/>
      <w:lang w:val="en-US"/>
      <w14:ligatures w14:val="none"/>
    </w:rPr>
    <w:tblPr>
      <w:tblStyleRowBandSize w:val="1"/>
      <w:tblStyleColBandSize w:val="1"/>
      <w:tblBorders>
        <w:top w:val="single" w:sz="8" w:space="0" w:color="082F4C" w:themeColor="accent2"/>
        <w:bottom w:val="single" w:sz="8" w:space="0" w:color="082F4C" w:themeColor="accent2"/>
      </w:tblBorders>
    </w:tblPr>
    <w:tblStylePr w:type="firstRow">
      <w:pPr>
        <w:spacing w:before="0" w:after="0" w:line="240" w:lineRule="auto"/>
      </w:pPr>
      <w:rPr>
        <w:b/>
        <w:bCs/>
      </w:rPr>
      <w:tblPr/>
      <w:tcPr>
        <w:tcBorders>
          <w:top w:val="single" w:sz="8" w:space="0" w:color="082F4C" w:themeColor="accent2"/>
          <w:left w:val="nil"/>
          <w:bottom w:val="single" w:sz="8" w:space="0" w:color="082F4C" w:themeColor="accent2"/>
          <w:right w:val="nil"/>
          <w:insideH w:val="nil"/>
          <w:insideV w:val="nil"/>
        </w:tcBorders>
      </w:tcPr>
    </w:tblStylePr>
    <w:tblStylePr w:type="lastRow">
      <w:pPr>
        <w:spacing w:before="0" w:after="0" w:line="240" w:lineRule="auto"/>
      </w:pPr>
      <w:rPr>
        <w:b/>
        <w:bCs/>
      </w:rPr>
      <w:tblPr/>
      <w:tcPr>
        <w:tcBorders>
          <w:top w:val="single" w:sz="8" w:space="0" w:color="082F4C" w:themeColor="accent2"/>
          <w:left w:val="nil"/>
          <w:bottom w:val="single" w:sz="8" w:space="0" w:color="082F4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D0F5" w:themeFill="accent2" w:themeFillTint="3F"/>
      </w:tcPr>
    </w:tblStylePr>
    <w:tblStylePr w:type="band1Horz">
      <w:tblPr/>
      <w:tcPr>
        <w:tcBorders>
          <w:left w:val="nil"/>
          <w:right w:val="nil"/>
          <w:insideH w:val="nil"/>
          <w:insideV w:val="nil"/>
        </w:tcBorders>
        <w:shd w:val="clear" w:color="auto" w:fill="9FD0F5" w:themeFill="accent2" w:themeFillTint="3F"/>
      </w:tcPr>
    </w:tblStylePr>
  </w:style>
  <w:style w:type="table" w:styleId="LightShading-Accent3">
    <w:name w:val="Light Shading Accent 3"/>
    <w:basedOn w:val="TableNormal"/>
    <w:uiPriority w:val="60"/>
    <w:rsid w:val="00B84943"/>
    <w:pPr>
      <w:spacing w:after="0" w:line="240" w:lineRule="auto"/>
    </w:pPr>
    <w:rPr>
      <w:rFonts w:eastAsiaTheme="minorEastAsia"/>
      <w:color w:val="791536" w:themeColor="accent3" w:themeShade="BF"/>
      <w:kern w:val="0"/>
      <w:sz w:val="22"/>
      <w:szCs w:val="22"/>
      <w:lang w:val="en-US"/>
      <w14:ligatures w14:val="none"/>
    </w:rPr>
    <w:tblPr>
      <w:tblStyleRowBandSize w:val="1"/>
      <w:tblStyleColBandSize w:val="1"/>
      <w:tblBorders>
        <w:top w:val="single" w:sz="8" w:space="0" w:color="A31D49" w:themeColor="accent3"/>
        <w:bottom w:val="single" w:sz="8" w:space="0" w:color="A31D49" w:themeColor="accent3"/>
      </w:tblBorders>
    </w:tblPr>
    <w:tblStylePr w:type="firstRow">
      <w:pPr>
        <w:spacing w:before="0" w:after="0" w:line="240" w:lineRule="auto"/>
      </w:pPr>
      <w:rPr>
        <w:b/>
        <w:bCs/>
      </w:rPr>
      <w:tblPr/>
      <w:tcPr>
        <w:tcBorders>
          <w:top w:val="single" w:sz="8" w:space="0" w:color="A31D49" w:themeColor="accent3"/>
          <w:left w:val="nil"/>
          <w:bottom w:val="single" w:sz="8" w:space="0" w:color="A31D49" w:themeColor="accent3"/>
          <w:right w:val="nil"/>
          <w:insideH w:val="nil"/>
          <w:insideV w:val="nil"/>
        </w:tcBorders>
      </w:tcPr>
    </w:tblStylePr>
    <w:tblStylePr w:type="lastRow">
      <w:pPr>
        <w:spacing w:before="0" w:after="0" w:line="240" w:lineRule="auto"/>
      </w:pPr>
      <w:rPr>
        <w:b/>
        <w:bCs/>
      </w:rPr>
      <w:tblPr/>
      <w:tcPr>
        <w:tcBorders>
          <w:top w:val="single" w:sz="8" w:space="0" w:color="A31D49" w:themeColor="accent3"/>
          <w:left w:val="nil"/>
          <w:bottom w:val="single" w:sz="8" w:space="0" w:color="A31D4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BCCE" w:themeFill="accent3" w:themeFillTint="3F"/>
      </w:tcPr>
    </w:tblStylePr>
    <w:tblStylePr w:type="band1Horz">
      <w:tblPr/>
      <w:tcPr>
        <w:tcBorders>
          <w:left w:val="nil"/>
          <w:right w:val="nil"/>
          <w:insideH w:val="nil"/>
          <w:insideV w:val="nil"/>
        </w:tcBorders>
        <w:shd w:val="clear" w:color="auto" w:fill="F3BCCE" w:themeFill="accent3" w:themeFillTint="3F"/>
      </w:tcPr>
    </w:tblStylePr>
  </w:style>
  <w:style w:type="table" w:styleId="LightShading-Accent4">
    <w:name w:val="Light Shading Accent 4"/>
    <w:basedOn w:val="TableNormal"/>
    <w:uiPriority w:val="60"/>
    <w:rsid w:val="00B84943"/>
    <w:pPr>
      <w:spacing w:after="0" w:line="240" w:lineRule="auto"/>
    </w:pPr>
    <w:rPr>
      <w:rFonts w:eastAsiaTheme="minorEastAsia"/>
      <w:color w:val="A59480" w:themeColor="accent4" w:themeShade="BF"/>
      <w:kern w:val="0"/>
      <w:sz w:val="22"/>
      <w:szCs w:val="22"/>
      <w:lang w:val="en-US"/>
      <w14:ligatures w14:val="none"/>
    </w:rPr>
    <w:tblPr>
      <w:tblStyleRowBandSize w:val="1"/>
      <w:tblStyleColBandSize w:val="1"/>
      <w:tblBorders>
        <w:top w:val="single" w:sz="8" w:space="0" w:color="CEC5BA" w:themeColor="accent4"/>
        <w:bottom w:val="single" w:sz="8" w:space="0" w:color="CEC5BA" w:themeColor="accent4"/>
      </w:tblBorders>
    </w:tblPr>
    <w:tblStylePr w:type="firstRow">
      <w:pPr>
        <w:spacing w:before="0" w:after="0" w:line="240" w:lineRule="auto"/>
      </w:pPr>
      <w:rPr>
        <w:b/>
        <w:bCs/>
      </w:rPr>
      <w:tblPr/>
      <w:tcPr>
        <w:tcBorders>
          <w:top w:val="single" w:sz="8" w:space="0" w:color="CEC5BA" w:themeColor="accent4"/>
          <w:left w:val="nil"/>
          <w:bottom w:val="single" w:sz="8" w:space="0" w:color="CEC5BA" w:themeColor="accent4"/>
          <w:right w:val="nil"/>
          <w:insideH w:val="nil"/>
          <w:insideV w:val="nil"/>
        </w:tcBorders>
      </w:tcPr>
    </w:tblStylePr>
    <w:tblStylePr w:type="lastRow">
      <w:pPr>
        <w:spacing w:before="0" w:after="0" w:line="240" w:lineRule="auto"/>
      </w:pPr>
      <w:rPr>
        <w:b/>
        <w:bCs/>
      </w:rPr>
      <w:tblPr/>
      <w:tcPr>
        <w:tcBorders>
          <w:top w:val="single" w:sz="8" w:space="0" w:color="CEC5BA" w:themeColor="accent4"/>
          <w:left w:val="nil"/>
          <w:bottom w:val="single" w:sz="8" w:space="0" w:color="CEC5B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0ED" w:themeFill="accent4" w:themeFillTint="3F"/>
      </w:tcPr>
    </w:tblStylePr>
    <w:tblStylePr w:type="band1Horz">
      <w:tblPr/>
      <w:tcPr>
        <w:tcBorders>
          <w:left w:val="nil"/>
          <w:right w:val="nil"/>
          <w:insideH w:val="nil"/>
          <w:insideV w:val="nil"/>
        </w:tcBorders>
        <w:shd w:val="clear" w:color="auto" w:fill="F2F0ED" w:themeFill="accent4" w:themeFillTint="3F"/>
      </w:tcPr>
    </w:tblStylePr>
  </w:style>
  <w:style w:type="table" w:styleId="LightShading-Accent5">
    <w:name w:val="Light Shading Accent 5"/>
    <w:basedOn w:val="TableNormal"/>
    <w:uiPriority w:val="60"/>
    <w:rsid w:val="00B84943"/>
    <w:pPr>
      <w:spacing w:after="0" w:line="240" w:lineRule="auto"/>
    </w:pPr>
    <w:rPr>
      <w:rFonts w:eastAsiaTheme="minorEastAsia"/>
      <w:color w:val="035A6F" w:themeColor="accent5" w:themeShade="BF"/>
      <w:kern w:val="0"/>
      <w:sz w:val="22"/>
      <w:szCs w:val="22"/>
      <w:lang w:val="en-US"/>
      <w14:ligatures w14:val="none"/>
    </w:rPr>
    <w:tblPr>
      <w:tblStyleRowBandSize w:val="1"/>
      <w:tblStyleColBandSize w:val="1"/>
      <w:tblBorders>
        <w:top w:val="single" w:sz="8" w:space="0" w:color="057995" w:themeColor="accent5"/>
        <w:bottom w:val="single" w:sz="8" w:space="0" w:color="057995" w:themeColor="accent5"/>
      </w:tblBorders>
    </w:tblPr>
    <w:tblStylePr w:type="firstRow">
      <w:pPr>
        <w:spacing w:before="0" w:after="0" w:line="240" w:lineRule="auto"/>
      </w:pPr>
      <w:rPr>
        <w:b/>
        <w:bCs/>
      </w:rPr>
      <w:tblPr/>
      <w:tcPr>
        <w:tcBorders>
          <w:top w:val="single" w:sz="8" w:space="0" w:color="057995" w:themeColor="accent5"/>
          <w:left w:val="nil"/>
          <w:bottom w:val="single" w:sz="8" w:space="0" w:color="057995" w:themeColor="accent5"/>
          <w:right w:val="nil"/>
          <w:insideH w:val="nil"/>
          <w:insideV w:val="nil"/>
        </w:tcBorders>
      </w:tcPr>
    </w:tblStylePr>
    <w:tblStylePr w:type="lastRow">
      <w:pPr>
        <w:spacing w:before="0" w:after="0" w:line="240" w:lineRule="auto"/>
      </w:pPr>
      <w:rPr>
        <w:b/>
        <w:bCs/>
      </w:rPr>
      <w:tblPr/>
      <w:tcPr>
        <w:tcBorders>
          <w:top w:val="single" w:sz="8" w:space="0" w:color="057995" w:themeColor="accent5"/>
          <w:left w:val="nil"/>
          <w:bottom w:val="single" w:sz="8" w:space="0" w:color="05799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ECFC" w:themeFill="accent5" w:themeFillTint="3F"/>
      </w:tcPr>
    </w:tblStylePr>
    <w:tblStylePr w:type="band1Horz">
      <w:tblPr/>
      <w:tcPr>
        <w:tcBorders>
          <w:left w:val="nil"/>
          <w:right w:val="nil"/>
          <w:insideH w:val="nil"/>
          <w:insideV w:val="nil"/>
        </w:tcBorders>
        <w:shd w:val="clear" w:color="auto" w:fill="A9ECFC" w:themeFill="accent5" w:themeFillTint="3F"/>
      </w:tcPr>
    </w:tblStylePr>
  </w:style>
  <w:style w:type="table" w:styleId="LightShading-Accent6">
    <w:name w:val="Light Shading Accent 6"/>
    <w:basedOn w:val="TableNormal"/>
    <w:uiPriority w:val="60"/>
    <w:rsid w:val="00B84943"/>
    <w:pPr>
      <w:spacing w:after="0" w:line="240" w:lineRule="auto"/>
    </w:pPr>
    <w:rPr>
      <w:rFonts w:eastAsiaTheme="minorEastAsia"/>
      <w:color w:val="062338" w:themeColor="accent6" w:themeShade="BF"/>
      <w:kern w:val="0"/>
      <w:sz w:val="22"/>
      <w:szCs w:val="22"/>
      <w:lang w:val="en-US"/>
      <w14:ligatures w14:val="none"/>
    </w:rPr>
    <w:tblPr>
      <w:tblStyleRowBandSize w:val="1"/>
      <w:tblStyleColBandSize w:val="1"/>
      <w:tblBorders>
        <w:top w:val="single" w:sz="8" w:space="0" w:color="082F4C" w:themeColor="accent6"/>
        <w:bottom w:val="single" w:sz="8" w:space="0" w:color="082F4C" w:themeColor="accent6"/>
      </w:tblBorders>
    </w:tblPr>
    <w:tblStylePr w:type="firstRow">
      <w:pPr>
        <w:spacing w:before="0" w:after="0" w:line="240" w:lineRule="auto"/>
      </w:pPr>
      <w:rPr>
        <w:b/>
        <w:bCs/>
      </w:rPr>
      <w:tblPr/>
      <w:tcPr>
        <w:tcBorders>
          <w:top w:val="single" w:sz="8" w:space="0" w:color="082F4C" w:themeColor="accent6"/>
          <w:left w:val="nil"/>
          <w:bottom w:val="single" w:sz="8" w:space="0" w:color="082F4C" w:themeColor="accent6"/>
          <w:right w:val="nil"/>
          <w:insideH w:val="nil"/>
          <w:insideV w:val="nil"/>
        </w:tcBorders>
      </w:tcPr>
    </w:tblStylePr>
    <w:tblStylePr w:type="lastRow">
      <w:pPr>
        <w:spacing w:before="0" w:after="0" w:line="240" w:lineRule="auto"/>
      </w:pPr>
      <w:rPr>
        <w:b/>
        <w:bCs/>
      </w:rPr>
      <w:tblPr/>
      <w:tcPr>
        <w:tcBorders>
          <w:top w:val="single" w:sz="8" w:space="0" w:color="082F4C" w:themeColor="accent6"/>
          <w:left w:val="nil"/>
          <w:bottom w:val="single" w:sz="8" w:space="0" w:color="082F4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D0F5" w:themeFill="accent6" w:themeFillTint="3F"/>
      </w:tcPr>
    </w:tblStylePr>
    <w:tblStylePr w:type="band1Horz">
      <w:tblPr/>
      <w:tcPr>
        <w:tcBorders>
          <w:left w:val="nil"/>
          <w:right w:val="nil"/>
          <w:insideH w:val="nil"/>
          <w:insideV w:val="nil"/>
        </w:tcBorders>
        <w:shd w:val="clear" w:color="auto" w:fill="9FD0F5" w:themeFill="accent6" w:themeFillTint="3F"/>
      </w:tcPr>
    </w:tblStylePr>
  </w:style>
  <w:style w:type="table" w:styleId="LightList">
    <w:name w:val="Light List"/>
    <w:basedOn w:val="TableNormal"/>
    <w:uiPriority w:val="61"/>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57995" w:themeColor="text1"/>
        <w:left w:val="single" w:sz="8" w:space="0" w:color="057995" w:themeColor="text1"/>
        <w:bottom w:val="single" w:sz="8" w:space="0" w:color="057995" w:themeColor="text1"/>
        <w:right w:val="single" w:sz="8" w:space="0" w:color="057995" w:themeColor="text1"/>
      </w:tblBorders>
    </w:tblPr>
    <w:tblStylePr w:type="firstRow">
      <w:pPr>
        <w:spacing w:before="0" w:after="0" w:line="240" w:lineRule="auto"/>
      </w:pPr>
      <w:rPr>
        <w:b/>
        <w:bCs/>
        <w:color w:val="FFFEFF" w:themeColor="background1"/>
      </w:rPr>
      <w:tblPr/>
      <w:tcPr>
        <w:shd w:val="clear" w:color="auto" w:fill="057995" w:themeFill="text1"/>
      </w:tcPr>
    </w:tblStylePr>
    <w:tblStylePr w:type="lastRow">
      <w:pPr>
        <w:spacing w:before="0" w:after="0" w:line="240" w:lineRule="auto"/>
      </w:pPr>
      <w:rPr>
        <w:b/>
        <w:bCs/>
      </w:rPr>
      <w:tblPr/>
      <w:tcPr>
        <w:tcBorders>
          <w:top w:val="double" w:sz="6" w:space="0" w:color="057995" w:themeColor="text1"/>
          <w:left w:val="single" w:sz="8" w:space="0" w:color="057995" w:themeColor="text1"/>
          <w:bottom w:val="single" w:sz="8" w:space="0" w:color="057995" w:themeColor="text1"/>
          <w:right w:val="single" w:sz="8" w:space="0" w:color="057995" w:themeColor="text1"/>
        </w:tcBorders>
      </w:tcPr>
    </w:tblStylePr>
    <w:tblStylePr w:type="firstCol">
      <w:rPr>
        <w:b/>
        <w:bCs/>
      </w:rPr>
    </w:tblStylePr>
    <w:tblStylePr w:type="lastCol">
      <w:rPr>
        <w:b/>
        <w:bCs/>
      </w:rPr>
    </w:tblStylePr>
    <w:tblStylePr w:type="band1Vert">
      <w:tblPr/>
      <w:tcPr>
        <w:tcBorders>
          <w:top w:val="single" w:sz="8" w:space="0" w:color="057995" w:themeColor="text1"/>
          <w:left w:val="single" w:sz="8" w:space="0" w:color="057995" w:themeColor="text1"/>
          <w:bottom w:val="single" w:sz="8" w:space="0" w:color="057995" w:themeColor="text1"/>
          <w:right w:val="single" w:sz="8" w:space="0" w:color="057995" w:themeColor="text1"/>
        </w:tcBorders>
      </w:tcPr>
    </w:tblStylePr>
    <w:tblStylePr w:type="band1Horz">
      <w:tblPr/>
      <w:tcPr>
        <w:tcBorders>
          <w:top w:val="single" w:sz="8" w:space="0" w:color="057995" w:themeColor="text1"/>
          <w:left w:val="single" w:sz="8" w:space="0" w:color="057995" w:themeColor="text1"/>
          <w:bottom w:val="single" w:sz="8" w:space="0" w:color="057995" w:themeColor="text1"/>
          <w:right w:val="single" w:sz="8" w:space="0" w:color="057995" w:themeColor="text1"/>
        </w:tcBorders>
      </w:tcPr>
    </w:tblStylePr>
  </w:style>
  <w:style w:type="table" w:styleId="LightList-Accent1">
    <w:name w:val="Light List Accent 1"/>
    <w:basedOn w:val="TableNormal"/>
    <w:uiPriority w:val="61"/>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57995" w:themeColor="accent1"/>
        <w:left w:val="single" w:sz="8" w:space="0" w:color="057995" w:themeColor="accent1"/>
        <w:bottom w:val="single" w:sz="8" w:space="0" w:color="057995" w:themeColor="accent1"/>
        <w:right w:val="single" w:sz="8" w:space="0" w:color="057995" w:themeColor="accent1"/>
      </w:tblBorders>
    </w:tblPr>
    <w:tblStylePr w:type="firstRow">
      <w:pPr>
        <w:spacing w:before="0" w:after="0" w:line="240" w:lineRule="auto"/>
      </w:pPr>
      <w:rPr>
        <w:b/>
        <w:bCs/>
        <w:color w:val="FFFEFF" w:themeColor="background1"/>
      </w:rPr>
      <w:tblPr/>
      <w:tcPr>
        <w:shd w:val="clear" w:color="auto" w:fill="057995" w:themeFill="accent1"/>
      </w:tcPr>
    </w:tblStylePr>
    <w:tblStylePr w:type="lastRow">
      <w:pPr>
        <w:spacing w:before="0" w:after="0" w:line="240" w:lineRule="auto"/>
      </w:pPr>
      <w:rPr>
        <w:b/>
        <w:bCs/>
      </w:rPr>
      <w:tblPr/>
      <w:tcPr>
        <w:tcBorders>
          <w:top w:val="double" w:sz="6" w:space="0" w:color="057995" w:themeColor="accent1"/>
          <w:left w:val="single" w:sz="8" w:space="0" w:color="057995" w:themeColor="accent1"/>
          <w:bottom w:val="single" w:sz="8" w:space="0" w:color="057995" w:themeColor="accent1"/>
          <w:right w:val="single" w:sz="8" w:space="0" w:color="057995" w:themeColor="accent1"/>
        </w:tcBorders>
      </w:tcPr>
    </w:tblStylePr>
    <w:tblStylePr w:type="firstCol">
      <w:rPr>
        <w:b/>
        <w:bCs/>
      </w:rPr>
    </w:tblStylePr>
    <w:tblStylePr w:type="lastCol">
      <w:rPr>
        <w:b/>
        <w:bCs/>
      </w:rPr>
    </w:tblStylePr>
    <w:tblStylePr w:type="band1Vert">
      <w:tblPr/>
      <w:tcPr>
        <w:tcBorders>
          <w:top w:val="single" w:sz="8" w:space="0" w:color="057995" w:themeColor="accent1"/>
          <w:left w:val="single" w:sz="8" w:space="0" w:color="057995" w:themeColor="accent1"/>
          <w:bottom w:val="single" w:sz="8" w:space="0" w:color="057995" w:themeColor="accent1"/>
          <w:right w:val="single" w:sz="8" w:space="0" w:color="057995" w:themeColor="accent1"/>
        </w:tcBorders>
      </w:tcPr>
    </w:tblStylePr>
    <w:tblStylePr w:type="band1Horz">
      <w:tblPr/>
      <w:tcPr>
        <w:tcBorders>
          <w:top w:val="single" w:sz="8" w:space="0" w:color="057995" w:themeColor="accent1"/>
          <w:left w:val="single" w:sz="8" w:space="0" w:color="057995" w:themeColor="accent1"/>
          <w:bottom w:val="single" w:sz="8" w:space="0" w:color="057995" w:themeColor="accent1"/>
          <w:right w:val="single" w:sz="8" w:space="0" w:color="057995" w:themeColor="accent1"/>
        </w:tcBorders>
      </w:tcPr>
    </w:tblStylePr>
  </w:style>
  <w:style w:type="table" w:styleId="LightList-Accent2">
    <w:name w:val="Light List Accent 2"/>
    <w:basedOn w:val="TableNormal"/>
    <w:uiPriority w:val="61"/>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82F4C" w:themeColor="accent2"/>
        <w:left w:val="single" w:sz="8" w:space="0" w:color="082F4C" w:themeColor="accent2"/>
        <w:bottom w:val="single" w:sz="8" w:space="0" w:color="082F4C" w:themeColor="accent2"/>
        <w:right w:val="single" w:sz="8" w:space="0" w:color="082F4C" w:themeColor="accent2"/>
      </w:tblBorders>
    </w:tblPr>
    <w:tblStylePr w:type="firstRow">
      <w:pPr>
        <w:spacing w:before="0" w:after="0" w:line="240" w:lineRule="auto"/>
      </w:pPr>
      <w:rPr>
        <w:b/>
        <w:bCs/>
        <w:color w:val="FFFEFF" w:themeColor="background1"/>
      </w:rPr>
      <w:tblPr/>
      <w:tcPr>
        <w:shd w:val="clear" w:color="auto" w:fill="082F4C" w:themeFill="accent2"/>
      </w:tcPr>
    </w:tblStylePr>
    <w:tblStylePr w:type="lastRow">
      <w:pPr>
        <w:spacing w:before="0" w:after="0" w:line="240" w:lineRule="auto"/>
      </w:pPr>
      <w:rPr>
        <w:b/>
        <w:bCs/>
      </w:rPr>
      <w:tblPr/>
      <w:tcPr>
        <w:tcBorders>
          <w:top w:val="double" w:sz="6" w:space="0" w:color="082F4C" w:themeColor="accent2"/>
          <w:left w:val="single" w:sz="8" w:space="0" w:color="082F4C" w:themeColor="accent2"/>
          <w:bottom w:val="single" w:sz="8" w:space="0" w:color="082F4C" w:themeColor="accent2"/>
          <w:right w:val="single" w:sz="8" w:space="0" w:color="082F4C" w:themeColor="accent2"/>
        </w:tcBorders>
      </w:tcPr>
    </w:tblStylePr>
    <w:tblStylePr w:type="firstCol">
      <w:rPr>
        <w:b/>
        <w:bCs/>
      </w:rPr>
    </w:tblStylePr>
    <w:tblStylePr w:type="lastCol">
      <w:rPr>
        <w:b/>
        <w:bCs/>
      </w:rPr>
    </w:tblStylePr>
    <w:tblStylePr w:type="band1Vert">
      <w:tblPr/>
      <w:tcPr>
        <w:tcBorders>
          <w:top w:val="single" w:sz="8" w:space="0" w:color="082F4C" w:themeColor="accent2"/>
          <w:left w:val="single" w:sz="8" w:space="0" w:color="082F4C" w:themeColor="accent2"/>
          <w:bottom w:val="single" w:sz="8" w:space="0" w:color="082F4C" w:themeColor="accent2"/>
          <w:right w:val="single" w:sz="8" w:space="0" w:color="082F4C" w:themeColor="accent2"/>
        </w:tcBorders>
      </w:tcPr>
    </w:tblStylePr>
    <w:tblStylePr w:type="band1Horz">
      <w:tblPr/>
      <w:tcPr>
        <w:tcBorders>
          <w:top w:val="single" w:sz="8" w:space="0" w:color="082F4C" w:themeColor="accent2"/>
          <w:left w:val="single" w:sz="8" w:space="0" w:color="082F4C" w:themeColor="accent2"/>
          <w:bottom w:val="single" w:sz="8" w:space="0" w:color="082F4C" w:themeColor="accent2"/>
          <w:right w:val="single" w:sz="8" w:space="0" w:color="082F4C" w:themeColor="accent2"/>
        </w:tcBorders>
      </w:tcPr>
    </w:tblStylePr>
  </w:style>
  <w:style w:type="table" w:styleId="LightList-Accent3">
    <w:name w:val="Light List Accent 3"/>
    <w:basedOn w:val="TableNormal"/>
    <w:uiPriority w:val="61"/>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31D49" w:themeColor="accent3"/>
        <w:left w:val="single" w:sz="8" w:space="0" w:color="A31D49" w:themeColor="accent3"/>
        <w:bottom w:val="single" w:sz="8" w:space="0" w:color="A31D49" w:themeColor="accent3"/>
        <w:right w:val="single" w:sz="8" w:space="0" w:color="A31D49" w:themeColor="accent3"/>
      </w:tblBorders>
    </w:tblPr>
    <w:tblStylePr w:type="firstRow">
      <w:pPr>
        <w:spacing w:before="0" w:after="0" w:line="240" w:lineRule="auto"/>
      </w:pPr>
      <w:rPr>
        <w:b/>
        <w:bCs/>
        <w:color w:val="FFFEFF" w:themeColor="background1"/>
      </w:rPr>
      <w:tblPr/>
      <w:tcPr>
        <w:shd w:val="clear" w:color="auto" w:fill="A31D49" w:themeFill="accent3"/>
      </w:tcPr>
    </w:tblStylePr>
    <w:tblStylePr w:type="lastRow">
      <w:pPr>
        <w:spacing w:before="0" w:after="0" w:line="240" w:lineRule="auto"/>
      </w:pPr>
      <w:rPr>
        <w:b/>
        <w:bCs/>
      </w:rPr>
      <w:tblPr/>
      <w:tcPr>
        <w:tcBorders>
          <w:top w:val="double" w:sz="6" w:space="0" w:color="A31D49" w:themeColor="accent3"/>
          <w:left w:val="single" w:sz="8" w:space="0" w:color="A31D49" w:themeColor="accent3"/>
          <w:bottom w:val="single" w:sz="8" w:space="0" w:color="A31D49" w:themeColor="accent3"/>
          <w:right w:val="single" w:sz="8" w:space="0" w:color="A31D49" w:themeColor="accent3"/>
        </w:tcBorders>
      </w:tcPr>
    </w:tblStylePr>
    <w:tblStylePr w:type="firstCol">
      <w:rPr>
        <w:b/>
        <w:bCs/>
      </w:rPr>
    </w:tblStylePr>
    <w:tblStylePr w:type="lastCol">
      <w:rPr>
        <w:b/>
        <w:bCs/>
      </w:rPr>
    </w:tblStylePr>
    <w:tblStylePr w:type="band1Vert">
      <w:tblPr/>
      <w:tcPr>
        <w:tcBorders>
          <w:top w:val="single" w:sz="8" w:space="0" w:color="A31D49" w:themeColor="accent3"/>
          <w:left w:val="single" w:sz="8" w:space="0" w:color="A31D49" w:themeColor="accent3"/>
          <w:bottom w:val="single" w:sz="8" w:space="0" w:color="A31D49" w:themeColor="accent3"/>
          <w:right w:val="single" w:sz="8" w:space="0" w:color="A31D49" w:themeColor="accent3"/>
        </w:tcBorders>
      </w:tcPr>
    </w:tblStylePr>
    <w:tblStylePr w:type="band1Horz">
      <w:tblPr/>
      <w:tcPr>
        <w:tcBorders>
          <w:top w:val="single" w:sz="8" w:space="0" w:color="A31D49" w:themeColor="accent3"/>
          <w:left w:val="single" w:sz="8" w:space="0" w:color="A31D49" w:themeColor="accent3"/>
          <w:bottom w:val="single" w:sz="8" w:space="0" w:color="A31D49" w:themeColor="accent3"/>
          <w:right w:val="single" w:sz="8" w:space="0" w:color="A31D49" w:themeColor="accent3"/>
        </w:tcBorders>
      </w:tcPr>
    </w:tblStylePr>
  </w:style>
  <w:style w:type="table" w:styleId="LightList-Accent4">
    <w:name w:val="Light List Accent 4"/>
    <w:basedOn w:val="TableNormal"/>
    <w:uiPriority w:val="61"/>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C5BA" w:themeColor="accent4"/>
        <w:left w:val="single" w:sz="8" w:space="0" w:color="CEC5BA" w:themeColor="accent4"/>
        <w:bottom w:val="single" w:sz="8" w:space="0" w:color="CEC5BA" w:themeColor="accent4"/>
        <w:right w:val="single" w:sz="8" w:space="0" w:color="CEC5BA" w:themeColor="accent4"/>
      </w:tblBorders>
    </w:tblPr>
    <w:tblStylePr w:type="firstRow">
      <w:pPr>
        <w:spacing w:before="0" w:after="0" w:line="240" w:lineRule="auto"/>
      </w:pPr>
      <w:rPr>
        <w:b/>
        <w:bCs/>
        <w:color w:val="FFFEFF" w:themeColor="background1"/>
      </w:rPr>
      <w:tblPr/>
      <w:tcPr>
        <w:shd w:val="clear" w:color="auto" w:fill="CEC5BA" w:themeFill="accent4"/>
      </w:tcPr>
    </w:tblStylePr>
    <w:tblStylePr w:type="lastRow">
      <w:pPr>
        <w:spacing w:before="0" w:after="0" w:line="240" w:lineRule="auto"/>
      </w:pPr>
      <w:rPr>
        <w:b/>
        <w:bCs/>
      </w:rPr>
      <w:tblPr/>
      <w:tcPr>
        <w:tcBorders>
          <w:top w:val="double" w:sz="6" w:space="0" w:color="CEC5BA" w:themeColor="accent4"/>
          <w:left w:val="single" w:sz="8" w:space="0" w:color="CEC5BA" w:themeColor="accent4"/>
          <w:bottom w:val="single" w:sz="8" w:space="0" w:color="CEC5BA" w:themeColor="accent4"/>
          <w:right w:val="single" w:sz="8" w:space="0" w:color="CEC5BA" w:themeColor="accent4"/>
        </w:tcBorders>
      </w:tcPr>
    </w:tblStylePr>
    <w:tblStylePr w:type="firstCol">
      <w:rPr>
        <w:b/>
        <w:bCs/>
      </w:rPr>
    </w:tblStylePr>
    <w:tblStylePr w:type="lastCol">
      <w:rPr>
        <w:b/>
        <w:bCs/>
      </w:rPr>
    </w:tblStylePr>
    <w:tblStylePr w:type="band1Vert">
      <w:tblPr/>
      <w:tcPr>
        <w:tcBorders>
          <w:top w:val="single" w:sz="8" w:space="0" w:color="CEC5BA" w:themeColor="accent4"/>
          <w:left w:val="single" w:sz="8" w:space="0" w:color="CEC5BA" w:themeColor="accent4"/>
          <w:bottom w:val="single" w:sz="8" w:space="0" w:color="CEC5BA" w:themeColor="accent4"/>
          <w:right w:val="single" w:sz="8" w:space="0" w:color="CEC5BA" w:themeColor="accent4"/>
        </w:tcBorders>
      </w:tcPr>
    </w:tblStylePr>
    <w:tblStylePr w:type="band1Horz">
      <w:tblPr/>
      <w:tcPr>
        <w:tcBorders>
          <w:top w:val="single" w:sz="8" w:space="0" w:color="CEC5BA" w:themeColor="accent4"/>
          <w:left w:val="single" w:sz="8" w:space="0" w:color="CEC5BA" w:themeColor="accent4"/>
          <w:bottom w:val="single" w:sz="8" w:space="0" w:color="CEC5BA" w:themeColor="accent4"/>
          <w:right w:val="single" w:sz="8" w:space="0" w:color="CEC5BA" w:themeColor="accent4"/>
        </w:tcBorders>
      </w:tcPr>
    </w:tblStylePr>
  </w:style>
  <w:style w:type="table" w:styleId="LightList-Accent5">
    <w:name w:val="Light List Accent 5"/>
    <w:basedOn w:val="TableNormal"/>
    <w:uiPriority w:val="61"/>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57995" w:themeColor="accent5"/>
        <w:left w:val="single" w:sz="8" w:space="0" w:color="057995" w:themeColor="accent5"/>
        <w:bottom w:val="single" w:sz="8" w:space="0" w:color="057995" w:themeColor="accent5"/>
        <w:right w:val="single" w:sz="8" w:space="0" w:color="057995" w:themeColor="accent5"/>
      </w:tblBorders>
    </w:tblPr>
    <w:tblStylePr w:type="firstRow">
      <w:pPr>
        <w:spacing w:before="0" w:after="0" w:line="240" w:lineRule="auto"/>
      </w:pPr>
      <w:rPr>
        <w:b/>
        <w:bCs/>
        <w:color w:val="FFFEFF" w:themeColor="background1"/>
      </w:rPr>
      <w:tblPr/>
      <w:tcPr>
        <w:shd w:val="clear" w:color="auto" w:fill="057995" w:themeFill="accent5"/>
      </w:tcPr>
    </w:tblStylePr>
    <w:tblStylePr w:type="lastRow">
      <w:pPr>
        <w:spacing w:before="0" w:after="0" w:line="240" w:lineRule="auto"/>
      </w:pPr>
      <w:rPr>
        <w:b/>
        <w:bCs/>
      </w:rPr>
      <w:tblPr/>
      <w:tcPr>
        <w:tcBorders>
          <w:top w:val="double" w:sz="6" w:space="0" w:color="057995" w:themeColor="accent5"/>
          <w:left w:val="single" w:sz="8" w:space="0" w:color="057995" w:themeColor="accent5"/>
          <w:bottom w:val="single" w:sz="8" w:space="0" w:color="057995" w:themeColor="accent5"/>
          <w:right w:val="single" w:sz="8" w:space="0" w:color="057995" w:themeColor="accent5"/>
        </w:tcBorders>
      </w:tcPr>
    </w:tblStylePr>
    <w:tblStylePr w:type="firstCol">
      <w:rPr>
        <w:b/>
        <w:bCs/>
      </w:rPr>
    </w:tblStylePr>
    <w:tblStylePr w:type="lastCol">
      <w:rPr>
        <w:b/>
        <w:bCs/>
      </w:rPr>
    </w:tblStylePr>
    <w:tblStylePr w:type="band1Vert">
      <w:tblPr/>
      <w:tcPr>
        <w:tcBorders>
          <w:top w:val="single" w:sz="8" w:space="0" w:color="057995" w:themeColor="accent5"/>
          <w:left w:val="single" w:sz="8" w:space="0" w:color="057995" w:themeColor="accent5"/>
          <w:bottom w:val="single" w:sz="8" w:space="0" w:color="057995" w:themeColor="accent5"/>
          <w:right w:val="single" w:sz="8" w:space="0" w:color="057995" w:themeColor="accent5"/>
        </w:tcBorders>
      </w:tcPr>
    </w:tblStylePr>
    <w:tblStylePr w:type="band1Horz">
      <w:tblPr/>
      <w:tcPr>
        <w:tcBorders>
          <w:top w:val="single" w:sz="8" w:space="0" w:color="057995" w:themeColor="accent5"/>
          <w:left w:val="single" w:sz="8" w:space="0" w:color="057995" w:themeColor="accent5"/>
          <w:bottom w:val="single" w:sz="8" w:space="0" w:color="057995" w:themeColor="accent5"/>
          <w:right w:val="single" w:sz="8" w:space="0" w:color="057995" w:themeColor="accent5"/>
        </w:tcBorders>
      </w:tcPr>
    </w:tblStylePr>
  </w:style>
  <w:style w:type="table" w:styleId="LightList-Accent6">
    <w:name w:val="Light List Accent 6"/>
    <w:basedOn w:val="TableNormal"/>
    <w:uiPriority w:val="61"/>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82F4C" w:themeColor="accent6"/>
        <w:left w:val="single" w:sz="8" w:space="0" w:color="082F4C" w:themeColor="accent6"/>
        <w:bottom w:val="single" w:sz="8" w:space="0" w:color="082F4C" w:themeColor="accent6"/>
        <w:right w:val="single" w:sz="8" w:space="0" w:color="082F4C" w:themeColor="accent6"/>
      </w:tblBorders>
    </w:tblPr>
    <w:tblStylePr w:type="firstRow">
      <w:pPr>
        <w:spacing w:before="0" w:after="0" w:line="240" w:lineRule="auto"/>
      </w:pPr>
      <w:rPr>
        <w:b/>
        <w:bCs/>
        <w:color w:val="FFFEFF" w:themeColor="background1"/>
      </w:rPr>
      <w:tblPr/>
      <w:tcPr>
        <w:shd w:val="clear" w:color="auto" w:fill="082F4C" w:themeFill="accent6"/>
      </w:tcPr>
    </w:tblStylePr>
    <w:tblStylePr w:type="lastRow">
      <w:pPr>
        <w:spacing w:before="0" w:after="0" w:line="240" w:lineRule="auto"/>
      </w:pPr>
      <w:rPr>
        <w:b/>
        <w:bCs/>
      </w:rPr>
      <w:tblPr/>
      <w:tcPr>
        <w:tcBorders>
          <w:top w:val="double" w:sz="6" w:space="0" w:color="082F4C" w:themeColor="accent6"/>
          <w:left w:val="single" w:sz="8" w:space="0" w:color="082F4C" w:themeColor="accent6"/>
          <w:bottom w:val="single" w:sz="8" w:space="0" w:color="082F4C" w:themeColor="accent6"/>
          <w:right w:val="single" w:sz="8" w:space="0" w:color="082F4C" w:themeColor="accent6"/>
        </w:tcBorders>
      </w:tcPr>
    </w:tblStylePr>
    <w:tblStylePr w:type="firstCol">
      <w:rPr>
        <w:b/>
        <w:bCs/>
      </w:rPr>
    </w:tblStylePr>
    <w:tblStylePr w:type="lastCol">
      <w:rPr>
        <w:b/>
        <w:bCs/>
      </w:rPr>
    </w:tblStylePr>
    <w:tblStylePr w:type="band1Vert">
      <w:tblPr/>
      <w:tcPr>
        <w:tcBorders>
          <w:top w:val="single" w:sz="8" w:space="0" w:color="082F4C" w:themeColor="accent6"/>
          <w:left w:val="single" w:sz="8" w:space="0" w:color="082F4C" w:themeColor="accent6"/>
          <w:bottom w:val="single" w:sz="8" w:space="0" w:color="082F4C" w:themeColor="accent6"/>
          <w:right w:val="single" w:sz="8" w:space="0" w:color="082F4C" w:themeColor="accent6"/>
        </w:tcBorders>
      </w:tcPr>
    </w:tblStylePr>
    <w:tblStylePr w:type="band1Horz">
      <w:tblPr/>
      <w:tcPr>
        <w:tcBorders>
          <w:top w:val="single" w:sz="8" w:space="0" w:color="082F4C" w:themeColor="accent6"/>
          <w:left w:val="single" w:sz="8" w:space="0" w:color="082F4C" w:themeColor="accent6"/>
          <w:bottom w:val="single" w:sz="8" w:space="0" w:color="082F4C" w:themeColor="accent6"/>
          <w:right w:val="single" w:sz="8" w:space="0" w:color="082F4C" w:themeColor="accent6"/>
        </w:tcBorders>
      </w:tcPr>
    </w:tblStylePr>
  </w:style>
  <w:style w:type="table" w:styleId="LightGrid">
    <w:name w:val="Light Grid"/>
    <w:basedOn w:val="TableNormal"/>
    <w:uiPriority w:val="62"/>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57995" w:themeColor="text1"/>
        <w:left w:val="single" w:sz="8" w:space="0" w:color="057995" w:themeColor="text1"/>
        <w:bottom w:val="single" w:sz="8" w:space="0" w:color="057995" w:themeColor="text1"/>
        <w:right w:val="single" w:sz="8" w:space="0" w:color="057995" w:themeColor="text1"/>
        <w:insideH w:val="single" w:sz="8" w:space="0" w:color="057995" w:themeColor="text1"/>
        <w:insideV w:val="single" w:sz="8" w:space="0" w:color="057995"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7995" w:themeColor="text1"/>
          <w:left w:val="single" w:sz="8" w:space="0" w:color="057995" w:themeColor="text1"/>
          <w:bottom w:val="single" w:sz="18" w:space="0" w:color="057995" w:themeColor="text1"/>
          <w:right w:val="single" w:sz="8" w:space="0" w:color="057995" w:themeColor="text1"/>
          <w:insideH w:val="nil"/>
          <w:insideV w:val="single" w:sz="8" w:space="0" w:color="057995"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7995" w:themeColor="text1"/>
          <w:left w:val="single" w:sz="8" w:space="0" w:color="057995" w:themeColor="text1"/>
          <w:bottom w:val="single" w:sz="8" w:space="0" w:color="057995" w:themeColor="text1"/>
          <w:right w:val="single" w:sz="8" w:space="0" w:color="057995" w:themeColor="text1"/>
          <w:insideH w:val="nil"/>
          <w:insideV w:val="single" w:sz="8" w:space="0" w:color="057995"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7995" w:themeColor="text1"/>
          <w:left w:val="single" w:sz="8" w:space="0" w:color="057995" w:themeColor="text1"/>
          <w:bottom w:val="single" w:sz="8" w:space="0" w:color="057995" w:themeColor="text1"/>
          <w:right w:val="single" w:sz="8" w:space="0" w:color="057995" w:themeColor="text1"/>
        </w:tcBorders>
      </w:tcPr>
    </w:tblStylePr>
    <w:tblStylePr w:type="band1Vert">
      <w:tblPr/>
      <w:tcPr>
        <w:tcBorders>
          <w:top w:val="single" w:sz="8" w:space="0" w:color="057995" w:themeColor="text1"/>
          <w:left w:val="single" w:sz="8" w:space="0" w:color="057995" w:themeColor="text1"/>
          <w:bottom w:val="single" w:sz="8" w:space="0" w:color="057995" w:themeColor="text1"/>
          <w:right w:val="single" w:sz="8" w:space="0" w:color="057995" w:themeColor="text1"/>
        </w:tcBorders>
        <w:shd w:val="clear" w:color="auto" w:fill="A9ECFC" w:themeFill="text1" w:themeFillTint="3F"/>
      </w:tcPr>
    </w:tblStylePr>
    <w:tblStylePr w:type="band1Horz">
      <w:tblPr/>
      <w:tcPr>
        <w:tcBorders>
          <w:top w:val="single" w:sz="8" w:space="0" w:color="057995" w:themeColor="text1"/>
          <w:left w:val="single" w:sz="8" w:space="0" w:color="057995" w:themeColor="text1"/>
          <w:bottom w:val="single" w:sz="8" w:space="0" w:color="057995" w:themeColor="text1"/>
          <w:right w:val="single" w:sz="8" w:space="0" w:color="057995" w:themeColor="text1"/>
          <w:insideV w:val="single" w:sz="8" w:space="0" w:color="057995" w:themeColor="text1"/>
        </w:tcBorders>
        <w:shd w:val="clear" w:color="auto" w:fill="A9ECFC" w:themeFill="text1" w:themeFillTint="3F"/>
      </w:tcPr>
    </w:tblStylePr>
    <w:tblStylePr w:type="band2Horz">
      <w:tblPr/>
      <w:tcPr>
        <w:tcBorders>
          <w:top w:val="single" w:sz="8" w:space="0" w:color="057995" w:themeColor="text1"/>
          <w:left w:val="single" w:sz="8" w:space="0" w:color="057995" w:themeColor="text1"/>
          <w:bottom w:val="single" w:sz="8" w:space="0" w:color="057995" w:themeColor="text1"/>
          <w:right w:val="single" w:sz="8" w:space="0" w:color="057995" w:themeColor="text1"/>
          <w:insideV w:val="single" w:sz="8" w:space="0" w:color="057995" w:themeColor="text1"/>
        </w:tcBorders>
      </w:tcPr>
    </w:tblStylePr>
  </w:style>
  <w:style w:type="table" w:styleId="LightGrid-Accent1">
    <w:name w:val="Light Grid Accent 1"/>
    <w:basedOn w:val="TableNormal"/>
    <w:uiPriority w:val="62"/>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57995" w:themeColor="accent1"/>
        <w:left w:val="single" w:sz="8" w:space="0" w:color="057995" w:themeColor="accent1"/>
        <w:bottom w:val="single" w:sz="8" w:space="0" w:color="057995" w:themeColor="accent1"/>
        <w:right w:val="single" w:sz="8" w:space="0" w:color="057995" w:themeColor="accent1"/>
        <w:insideH w:val="single" w:sz="8" w:space="0" w:color="057995" w:themeColor="accent1"/>
        <w:insideV w:val="single" w:sz="8" w:space="0" w:color="05799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7995" w:themeColor="accent1"/>
          <w:left w:val="single" w:sz="8" w:space="0" w:color="057995" w:themeColor="accent1"/>
          <w:bottom w:val="single" w:sz="18" w:space="0" w:color="057995" w:themeColor="accent1"/>
          <w:right w:val="single" w:sz="8" w:space="0" w:color="057995" w:themeColor="accent1"/>
          <w:insideH w:val="nil"/>
          <w:insideV w:val="single" w:sz="8" w:space="0" w:color="05799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7995" w:themeColor="accent1"/>
          <w:left w:val="single" w:sz="8" w:space="0" w:color="057995" w:themeColor="accent1"/>
          <w:bottom w:val="single" w:sz="8" w:space="0" w:color="057995" w:themeColor="accent1"/>
          <w:right w:val="single" w:sz="8" w:space="0" w:color="057995" w:themeColor="accent1"/>
          <w:insideH w:val="nil"/>
          <w:insideV w:val="single" w:sz="8" w:space="0" w:color="05799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7995" w:themeColor="accent1"/>
          <w:left w:val="single" w:sz="8" w:space="0" w:color="057995" w:themeColor="accent1"/>
          <w:bottom w:val="single" w:sz="8" w:space="0" w:color="057995" w:themeColor="accent1"/>
          <w:right w:val="single" w:sz="8" w:space="0" w:color="057995" w:themeColor="accent1"/>
        </w:tcBorders>
      </w:tcPr>
    </w:tblStylePr>
    <w:tblStylePr w:type="band1Vert">
      <w:tblPr/>
      <w:tcPr>
        <w:tcBorders>
          <w:top w:val="single" w:sz="8" w:space="0" w:color="057995" w:themeColor="accent1"/>
          <w:left w:val="single" w:sz="8" w:space="0" w:color="057995" w:themeColor="accent1"/>
          <w:bottom w:val="single" w:sz="8" w:space="0" w:color="057995" w:themeColor="accent1"/>
          <w:right w:val="single" w:sz="8" w:space="0" w:color="057995" w:themeColor="accent1"/>
        </w:tcBorders>
        <w:shd w:val="clear" w:color="auto" w:fill="A9ECFC" w:themeFill="accent1" w:themeFillTint="3F"/>
      </w:tcPr>
    </w:tblStylePr>
    <w:tblStylePr w:type="band1Horz">
      <w:tblPr/>
      <w:tcPr>
        <w:tcBorders>
          <w:top w:val="single" w:sz="8" w:space="0" w:color="057995" w:themeColor="accent1"/>
          <w:left w:val="single" w:sz="8" w:space="0" w:color="057995" w:themeColor="accent1"/>
          <w:bottom w:val="single" w:sz="8" w:space="0" w:color="057995" w:themeColor="accent1"/>
          <w:right w:val="single" w:sz="8" w:space="0" w:color="057995" w:themeColor="accent1"/>
          <w:insideV w:val="single" w:sz="8" w:space="0" w:color="057995" w:themeColor="accent1"/>
        </w:tcBorders>
        <w:shd w:val="clear" w:color="auto" w:fill="A9ECFC" w:themeFill="accent1" w:themeFillTint="3F"/>
      </w:tcPr>
    </w:tblStylePr>
    <w:tblStylePr w:type="band2Horz">
      <w:tblPr/>
      <w:tcPr>
        <w:tcBorders>
          <w:top w:val="single" w:sz="8" w:space="0" w:color="057995" w:themeColor="accent1"/>
          <w:left w:val="single" w:sz="8" w:space="0" w:color="057995" w:themeColor="accent1"/>
          <w:bottom w:val="single" w:sz="8" w:space="0" w:color="057995" w:themeColor="accent1"/>
          <w:right w:val="single" w:sz="8" w:space="0" w:color="057995" w:themeColor="accent1"/>
          <w:insideV w:val="single" w:sz="8" w:space="0" w:color="057995" w:themeColor="accent1"/>
        </w:tcBorders>
      </w:tcPr>
    </w:tblStylePr>
  </w:style>
  <w:style w:type="table" w:styleId="LightGrid-Accent2">
    <w:name w:val="Light Grid Accent 2"/>
    <w:basedOn w:val="TableNormal"/>
    <w:uiPriority w:val="62"/>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82F4C" w:themeColor="accent2"/>
        <w:left w:val="single" w:sz="8" w:space="0" w:color="082F4C" w:themeColor="accent2"/>
        <w:bottom w:val="single" w:sz="8" w:space="0" w:color="082F4C" w:themeColor="accent2"/>
        <w:right w:val="single" w:sz="8" w:space="0" w:color="082F4C" w:themeColor="accent2"/>
        <w:insideH w:val="single" w:sz="8" w:space="0" w:color="082F4C" w:themeColor="accent2"/>
        <w:insideV w:val="single" w:sz="8" w:space="0" w:color="082F4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82F4C" w:themeColor="accent2"/>
          <w:left w:val="single" w:sz="8" w:space="0" w:color="082F4C" w:themeColor="accent2"/>
          <w:bottom w:val="single" w:sz="18" w:space="0" w:color="082F4C" w:themeColor="accent2"/>
          <w:right w:val="single" w:sz="8" w:space="0" w:color="082F4C" w:themeColor="accent2"/>
          <w:insideH w:val="nil"/>
          <w:insideV w:val="single" w:sz="8" w:space="0" w:color="082F4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82F4C" w:themeColor="accent2"/>
          <w:left w:val="single" w:sz="8" w:space="0" w:color="082F4C" w:themeColor="accent2"/>
          <w:bottom w:val="single" w:sz="8" w:space="0" w:color="082F4C" w:themeColor="accent2"/>
          <w:right w:val="single" w:sz="8" w:space="0" w:color="082F4C" w:themeColor="accent2"/>
          <w:insideH w:val="nil"/>
          <w:insideV w:val="single" w:sz="8" w:space="0" w:color="082F4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82F4C" w:themeColor="accent2"/>
          <w:left w:val="single" w:sz="8" w:space="0" w:color="082F4C" w:themeColor="accent2"/>
          <w:bottom w:val="single" w:sz="8" w:space="0" w:color="082F4C" w:themeColor="accent2"/>
          <w:right w:val="single" w:sz="8" w:space="0" w:color="082F4C" w:themeColor="accent2"/>
        </w:tcBorders>
      </w:tcPr>
    </w:tblStylePr>
    <w:tblStylePr w:type="band1Vert">
      <w:tblPr/>
      <w:tcPr>
        <w:tcBorders>
          <w:top w:val="single" w:sz="8" w:space="0" w:color="082F4C" w:themeColor="accent2"/>
          <w:left w:val="single" w:sz="8" w:space="0" w:color="082F4C" w:themeColor="accent2"/>
          <w:bottom w:val="single" w:sz="8" w:space="0" w:color="082F4C" w:themeColor="accent2"/>
          <w:right w:val="single" w:sz="8" w:space="0" w:color="082F4C" w:themeColor="accent2"/>
        </w:tcBorders>
        <w:shd w:val="clear" w:color="auto" w:fill="9FD0F5" w:themeFill="accent2" w:themeFillTint="3F"/>
      </w:tcPr>
    </w:tblStylePr>
    <w:tblStylePr w:type="band1Horz">
      <w:tblPr/>
      <w:tcPr>
        <w:tcBorders>
          <w:top w:val="single" w:sz="8" w:space="0" w:color="082F4C" w:themeColor="accent2"/>
          <w:left w:val="single" w:sz="8" w:space="0" w:color="082F4C" w:themeColor="accent2"/>
          <w:bottom w:val="single" w:sz="8" w:space="0" w:color="082F4C" w:themeColor="accent2"/>
          <w:right w:val="single" w:sz="8" w:space="0" w:color="082F4C" w:themeColor="accent2"/>
          <w:insideV w:val="single" w:sz="8" w:space="0" w:color="082F4C" w:themeColor="accent2"/>
        </w:tcBorders>
        <w:shd w:val="clear" w:color="auto" w:fill="9FD0F5" w:themeFill="accent2" w:themeFillTint="3F"/>
      </w:tcPr>
    </w:tblStylePr>
    <w:tblStylePr w:type="band2Horz">
      <w:tblPr/>
      <w:tcPr>
        <w:tcBorders>
          <w:top w:val="single" w:sz="8" w:space="0" w:color="082F4C" w:themeColor="accent2"/>
          <w:left w:val="single" w:sz="8" w:space="0" w:color="082F4C" w:themeColor="accent2"/>
          <w:bottom w:val="single" w:sz="8" w:space="0" w:color="082F4C" w:themeColor="accent2"/>
          <w:right w:val="single" w:sz="8" w:space="0" w:color="082F4C" w:themeColor="accent2"/>
          <w:insideV w:val="single" w:sz="8" w:space="0" w:color="082F4C" w:themeColor="accent2"/>
        </w:tcBorders>
      </w:tcPr>
    </w:tblStylePr>
  </w:style>
  <w:style w:type="table" w:styleId="LightGrid-Accent3">
    <w:name w:val="Light Grid Accent 3"/>
    <w:basedOn w:val="TableNormal"/>
    <w:uiPriority w:val="62"/>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31D49" w:themeColor="accent3"/>
        <w:left w:val="single" w:sz="8" w:space="0" w:color="A31D49" w:themeColor="accent3"/>
        <w:bottom w:val="single" w:sz="8" w:space="0" w:color="A31D49" w:themeColor="accent3"/>
        <w:right w:val="single" w:sz="8" w:space="0" w:color="A31D49" w:themeColor="accent3"/>
        <w:insideH w:val="single" w:sz="8" w:space="0" w:color="A31D49" w:themeColor="accent3"/>
        <w:insideV w:val="single" w:sz="8" w:space="0" w:color="A31D4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1D49" w:themeColor="accent3"/>
          <w:left w:val="single" w:sz="8" w:space="0" w:color="A31D49" w:themeColor="accent3"/>
          <w:bottom w:val="single" w:sz="18" w:space="0" w:color="A31D49" w:themeColor="accent3"/>
          <w:right w:val="single" w:sz="8" w:space="0" w:color="A31D49" w:themeColor="accent3"/>
          <w:insideH w:val="nil"/>
          <w:insideV w:val="single" w:sz="8" w:space="0" w:color="A31D4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1D49" w:themeColor="accent3"/>
          <w:left w:val="single" w:sz="8" w:space="0" w:color="A31D49" w:themeColor="accent3"/>
          <w:bottom w:val="single" w:sz="8" w:space="0" w:color="A31D49" w:themeColor="accent3"/>
          <w:right w:val="single" w:sz="8" w:space="0" w:color="A31D49" w:themeColor="accent3"/>
          <w:insideH w:val="nil"/>
          <w:insideV w:val="single" w:sz="8" w:space="0" w:color="A31D4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1D49" w:themeColor="accent3"/>
          <w:left w:val="single" w:sz="8" w:space="0" w:color="A31D49" w:themeColor="accent3"/>
          <w:bottom w:val="single" w:sz="8" w:space="0" w:color="A31D49" w:themeColor="accent3"/>
          <w:right w:val="single" w:sz="8" w:space="0" w:color="A31D49" w:themeColor="accent3"/>
        </w:tcBorders>
      </w:tcPr>
    </w:tblStylePr>
    <w:tblStylePr w:type="band1Vert">
      <w:tblPr/>
      <w:tcPr>
        <w:tcBorders>
          <w:top w:val="single" w:sz="8" w:space="0" w:color="A31D49" w:themeColor="accent3"/>
          <w:left w:val="single" w:sz="8" w:space="0" w:color="A31D49" w:themeColor="accent3"/>
          <w:bottom w:val="single" w:sz="8" w:space="0" w:color="A31D49" w:themeColor="accent3"/>
          <w:right w:val="single" w:sz="8" w:space="0" w:color="A31D49" w:themeColor="accent3"/>
        </w:tcBorders>
        <w:shd w:val="clear" w:color="auto" w:fill="F3BCCE" w:themeFill="accent3" w:themeFillTint="3F"/>
      </w:tcPr>
    </w:tblStylePr>
    <w:tblStylePr w:type="band1Horz">
      <w:tblPr/>
      <w:tcPr>
        <w:tcBorders>
          <w:top w:val="single" w:sz="8" w:space="0" w:color="A31D49" w:themeColor="accent3"/>
          <w:left w:val="single" w:sz="8" w:space="0" w:color="A31D49" w:themeColor="accent3"/>
          <w:bottom w:val="single" w:sz="8" w:space="0" w:color="A31D49" w:themeColor="accent3"/>
          <w:right w:val="single" w:sz="8" w:space="0" w:color="A31D49" w:themeColor="accent3"/>
          <w:insideV w:val="single" w:sz="8" w:space="0" w:color="A31D49" w:themeColor="accent3"/>
        </w:tcBorders>
        <w:shd w:val="clear" w:color="auto" w:fill="F3BCCE" w:themeFill="accent3" w:themeFillTint="3F"/>
      </w:tcPr>
    </w:tblStylePr>
    <w:tblStylePr w:type="band2Horz">
      <w:tblPr/>
      <w:tcPr>
        <w:tcBorders>
          <w:top w:val="single" w:sz="8" w:space="0" w:color="A31D49" w:themeColor="accent3"/>
          <w:left w:val="single" w:sz="8" w:space="0" w:color="A31D49" w:themeColor="accent3"/>
          <w:bottom w:val="single" w:sz="8" w:space="0" w:color="A31D49" w:themeColor="accent3"/>
          <w:right w:val="single" w:sz="8" w:space="0" w:color="A31D49" w:themeColor="accent3"/>
          <w:insideV w:val="single" w:sz="8" w:space="0" w:color="A31D49" w:themeColor="accent3"/>
        </w:tcBorders>
      </w:tcPr>
    </w:tblStylePr>
  </w:style>
  <w:style w:type="table" w:styleId="LightGrid-Accent4">
    <w:name w:val="Light Grid Accent 4"/>
    <w:basedOn w:val="TableNormal"/>
    <w:uiPriority w:val="62"/>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C5BA" w:themeColor="accent4"/>
        <w:left w:val="single" w:sz="8" w:space="0" w:color="CEC5BA" w:themeColor="accent4"/>
        <w:bottom w:val="single" w:sz="8" w:space="0" w:color="CEC5BA" w:themeColor="accent4"/>
        <w:right w:val="single" w:sz="8" w:space="0" w:color="CEC5BA" w:themeColor="accent4"/>
        <w:insideH w:val="single" w:sz="8" w:space="0" w:color="CEC5BA" w:themeColor="accent4"/>
        <w:insideV w:val="single" w:sz="8" w:space="0" w:color="CEC5BA"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C5BA" w:themeColor="accent4"/>
          <w:left w:val="single" w:sz="8" w:space="0" w:color="CEC5BA" w:themeColor="accent4"/>
          <w:bottom w:val="single" w:sz="18" w:space="0" w:color="CEC5BA" w:themeColor="accent4"/>
          <w:right w:val="single" w:sz="8" w:space="0" w:color="CEC5BA" w:themeColor="accent4"/>
          <w:insideH w:val="nil"/>
          <w:insideV w:val="single" w:sz="8" w:space="0" w:color="CEC5B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C5BA" w:themeColor="accent4"/>
          <w:left w:val="single" w:sz="8" w:space="0" w:color="CEC5BA" w:themeColor="accent4"/>
          <w:bottom w:val="single" w:sz="8" w:space="0" w:color="CEC5BA" w:themeColor="accent4"/>
          <w:right w:val="single" w:sz="8" w:space="0" w:color="CEC5BA" w:themeColor="accent4"/>
          <w:insideH w:val="nil"/>
          <w:insideV w:val="single" w:sz="8" w:space="0" w:color="CEC5B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C5BA" w:themeColor="accent4"/>
          <w:left w:val="single" w:sz="8" w:space="0" w:color="CEC5BA" w:themeColor="accent4"/>
          <w:bottom w:val="single" w:sz="8" w:space="0" w:color="CEC5BA" w:themeColor="accent4"/>
          <w:right w:val="single" w:sz="8" w:space="0" w:color="CEC5BA" w:themeColor="accent4"/>
        </w:tcBorders>
      </w:tcPr>
    </w:tblStylePr>
    <w:tblStylePr w:type="band1Vert">
      <w:tblPr/>
      <w:tcPr>
        <w:tcBorders>
          <w:top w:val="single" w:sz="8" w:space="0" w:color="CEC5BA" w:themeColor="accent4"/>
          <w:left w:val="single" w:sz="8" w:space="0" w:color="CEC5BA" w:themeColor="accent4"/>
          <w:bottom w:val="single" w:sz="8" w:space="0" w:color="CEC5BA" w:themeColor="accent4"/>
          <w:right w:val="single" w:sz="8" w:space="0" w:color="CEC5BA" w:themeColor="accent4"/>
        </w:tcBorders>
        <w:shd w:val="clear" w:color="auto" w:fill="F2F0ED" w:themeFill="accent4" w:themeFillTint="3F"/>
      </w:tcPr>
    </w:tblStylePr>
    <w:tblStylePr w:type="band1Horz">
      <w:tblPr/>
      <w:tcPr>
        <w:tcBorders>
          <w:top w:val="single" w:sz="8" w:space="0" w:color="CEC5BA" w:themeColor="accent4"/>
          <w:left w:val="single" w:sz="8" w:space="0" w:color="CEC5BA" w:themeColor="accent4"/>
          <w:bottom w:val="single" w:sz="8" w:space="0" w:color="CEC5BA" w:themeColor="accent4"/>
          <w:right w:val="single" w:sz="8" w:space="0" w:color="CEC5BA" w:themeColor="accent4"/>
          <w:insideV w:val="single" w:sz="8" w:space="0" w:color="CEC5BA" w:themeColor="accent4"/>
        </w:tcBorders>
        <w:shd w:val="clear" w:color="auto" w:fill="F2F0ED" w:themeFill="accent4" w:themeFillTint="3F"/>
      </w:tcPr>
    </w:tblStylePr>
    <w:tblStylePr w:type="band2Horz">
      <w:tblPr/>
      <w:tcPr>
        <w:tcBorders>
          <w:top w:val="single" w:sz="8" w:space="0" w:color="CEC5BA" w:themeColor="accent4"/>
          <w:left w:val="single" w:sz="8" w:space="0" w:color="CEC5BA" w:themeColor="accent4"/>
          <w:bottom w:val="single" w:sz="8" w:space="0" w:color="CEC5BA" w:themeColor="accent4"/>
          <w:right w:val="single" w:sz="8" w:space="0" w:color="CEC5BA" w:themeColor="accent4"/>
          <w:insideV w:val="single" w:sz="8" w:space="0" w:color="CEC5BA" w:themeColor="accent4"/>
        </w:tcBorders>
      </w:tcPr>
    </w:tblStylePr>
  </w:style>
  <w:style w:type="table" w:styleId="LightGrid-Accent5">
    <w:name w:val="Light Grid Accent 5"/>
    <w:basedOn w:val="TableNormal"/>
    <w:uiPriority w:val="62"/>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57995" w:themeColor="accent5"/>
        <w:left w:val="single" w:sz="8" w:space="0" w:color="057995" w:themeColor="accent5"/>
        <w:bottom w:val="single" w:sz="8" w:space="0" w:color="057995" w:themeColor="accent5"/>
        <w:right w:val="single" w:sz="8" w:space="0" w:color="057995" w:themeColor="accent5"/>
        <w:insideH w:val="single" w:sz="8" w:space="0" w:color="057995" w:themeColor="accent5"/>
        <w:insideV w:val="single" w:sz="8" w:space="0" w:color="05799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7995" w:themeColor="accent5"/>
          <w:left w:val="single" w:sz="8" w:space="0" w:color="057995" w:themeColor="accent5"/>
          <w:bottom w:val="single" w:sz="18" w:space="0" w:color="057995" w:themeColor="accent5"/>
          <w:right w:val="single" w:sz="8" w:space="0" w:color="057995" w:themeColor="accent5"/>
          <w:insideH w:val="nil"/>
          <w:insideV w:val="single" w:sz="8" w:space="0" w:color="05799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7995" w:themeColor="accent5"/>
          <w:left w:val="single" w:sz="8" w:space="0" w:color="057995" w:themeColor="accent5"/>
          <w:bottom w:val="single" w:sz="8" w:space="0" w:color="057995" w:themeColor="accent5"/>
          <w:right w:val="single" w:sz="8" w:space="0" w:color="057995" w:themeColor="accent5"/>
          <w:insideH w:val="nil"/>
          <w:insideV w:val="single" w:sz="8" w:space="0" w:color="05799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7995" w:themeColor="accent5"/>
          <w:left w:val="single" w:sz="8" w:space="0" w:color="057995" w:themeColor="accent5"/>
          <w:bottom w:val="single" w:sz="8" w:space="0" w:color="057995" w:themeColor="accent5"/>
          <w:right w:val="single" w:sz="8" w:space="0" w:color="057995" w:themeColor="accent5"/>
        </w:tcBorders>
      </w:tcPr>
    </w:tblStylePr>
    <w:tblStylePr w:type="band1Vert">
      <w:tblPr/>
      <w:tcPr>
        <w:tcBorders>
          <w:top w:val="single" w:sz="8" w:space="0" w:color="057995" w:themeColor="accent5"/>
          <w:left w:val="single" w:sz="8" w:space="0" w:color="057995" w:themeColor="accent5"/>
          <w:bottom w:val="single" w:sz="8" w:space="0" w:color="057995" w:themeColor="accent5"/>
          <w:right w:val="single" w:sz="8" w:space="0" w:color="057995" w:themeColor="accent5"/>
        </w:tcBorders>
        <w:shd w:val="clear" w:color="auto" w:fill="A9ECFC" w:themeFill="accent5" w:themeFillTint="3F"/>
      </w:tcPr>
    </w:tblStylePr>
    <w:tblStylePr w:type="band1Horz">
      <w:tblPr/>
      <w:tcPr>
        <w:tcBorders>
          <w:top w:val="single" w:sz="8" w:space="0" w:color="057995" w:themeColor="accent5"/>
          <w:left w:val="single" w:sz="8" w:space="0" w:color="057995" w:themeColor="accent5"/>
          <w:bottom w:val="single" w:sz="8" w:space="0" w:color="057995" w:themeColor="accent5"/>
          <w:right w:val="single" w:sz="8" w:space="0" w:color="057995" w:themeColor="accent5"/>
          <w:insideV w:val="single" w:sz="8" w:space="0" w:color="057995" w:themeColor="accent5"/>
        </w:tcBorders>
        <w:shd w:val="clear" w:color="auto" w:fill="A9ECFC" w:themeFill="accent5" w:themeFillTint="3F"/>
      </w:tcPr>
    </w:tblStylePr>
    <w:tblStylePr w:type="band2Horz">
      <w:tblPr/>
      <w:tcPr>
        <w:tcBorders>
          <w:top w:val="single" w:sz="8" w:space="0" w:color="057995" w:themeColor="accent5"/>
          <w:left w:val="single" w:sz="8" w:space="0" w:color="057995" w:themeColor="accent5"/>
          <w:bottom w:val="single" w:sz="8" w:space="0" w:color="057995" w:themeColor="accent5"/>
          <w:right w:val="single" w:sz="8" w:space="0" w:color="057995" w:themeColor="accent5"/>
          <w:insideV w:val="single" w:sz="8" w:space="0" w:color="057995" w:themeColor="accent5"/>
        </w:tcBorders>
      </w:tcPr>
    </w:tblStylePr>
  </w:style>
  <w:style w:type="table" w:styleId="LightGrid-Accent6">
    <w:name w:val="Light Grid Accent 6"/>
    <w:basedOn w:val="TableNormal"/>
    <w:uiPriority w:val="62"/>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82F4C" w:themeColor="accent6"/>
        <w:left w:val="single" w:sz="8" w:space="0" w:color="082F4C" w:themeColor="accent6"/>
        <w:bottom w:val="single" w:sz="8" w:space="0" w:color="082F4C" w:themeColor="accent6"/>
        <w:right w:val="single" w:sz="8" w:space="0" w:color="082F4C" w:themeColor="accent6"/>
        <w:insideH w:val="single" w:sz="8" w:space="0" w:color="082F4C" w:themeColor="accent6"/>
        <w:insideV w:val="single" w:sz="8" w:space="0" w:color="082F4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82F4C" w:themeColor="accent6"/>
          <w:left w:val="single" w:sz="8" w:space="0" w:color="082F4C" w:themeColor="accent6"/>
          <w:bottom w:val="single" w:sz="18" w:space="0" w:color="082F4C" w:themeColor="accent6"/>
          <w:right w:val="single" w:sz="8" w:space="0" w:color="082F4C" w:themeColor="accent6"/>
          <w:insideH w:val="nil"/>
          <w:insideV w:val="single" w:sz="8" w:space="0" w:color="082F4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82F4C" w:themeColor="accent6"/>
          <w:left w:val="single" w:sz="8" w:space="0" w:color="082F4C" w:themeColor="accent6"/>
          <w:bottom w:val="single" w:sz="8" w:space="0" w:color="082F4C" w:themeColor="accent6"/>
          <w:right w:val="single" w:sz="8" w:space="0" w:color="082F4C" w:themeColor="accent6"/>
          <w:insideH w:val="nil"/>
          <w:insideV w:val="single" w:sz="8" w:space="0" w:color="082F4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82F4C" w:themeColor="accent6"/>
          <w:left w:val="single" w:sz="8" w:space="0" w:color="082F4C" w:themeColor="accent6"/>
          <w:bottom w:val="single" w:sz="8" w:space="0" w:color="082F4C" w:themeColor="accent6"/>
          <w:right w:val="single" w:sz="8" w:space="0" w:color="082F4C" w:themeColor="accent6"/>
        </w:tcBorders>
      </w:tcPr>
    </w:tblStylePr>
    <w:tblStylePr w:type="band1Vert">
      <w:tblPr/>
      <w:tcPr>
        <w:tcBorders>
          <w:top w:val="single" w:sz="8" w:space="0" w:color="082F4C" w:themeColor="accent6"/>
          <w:left w:val="single" w:sz="8" w:space="0" w:color="082F4C" w:themeColor="accent6"/>
          <w:bottom w:val="single" w:sz="8" w:space="0" w:color="082F4C" w:themeColor="accent6"/>
          <w:right w:val="single" w:sz="8" w:space="0" w:color="082F4C" w:themeColor="accent6"/>
        </w:tcBorders>
        <w:shd w:val="clear" w:color="auto" w:fill="9FD0F5" w:themeFill="accent6" w:themeFillTint="3F"/>
      </w:tcPr>
    </w:tblStylePr>
    <w:tblStylePr w:type="band1Horz">
      <w:tblPr/>
      <w:tcPr>
        <w:tcBorders>
          <w:top w:val="single" w:sz="8" w:space="0" w:color="082F4C" w:themeColor="accent6"/>
          <w:left w:val="single" w:sz="8" w:space="0" w:color="082F4C" w:themeColor="accent6"/>
          <w:bottom w:val="single" w:sz="8" w:space="0" w:color="082F4C" w:themeColor="accent6"/>
          <w:right w:val="single" w:sz="8" w:space="0" w:color="082F4C" w:themeColor="accent6"/>
          <w:insideV w:val="single" w:sz="8" w:space="0" w:color="082F4C" w:themeColor="accent6"/>
        </w:tcBorders>
        <w:shd w:val="clear" w:color="auto" w:fill="9FD0F5" w:themeFill="accent6" w:themeFillTint="3F"/>
      </w:tcPr>
    </w:tblStylePr>
    <w:tblStylePr w:type="band2Horz">
      <w:tblPr/>
      <w:tcPr>
        <w:tcBorders>
          <w:top w:val="single" w:sz="8" w:space="0" w:color="082F4C" w:themeColor="accent6"/>
          <w:left w:val="single" w:sz="8" w:space="0" w:color="082F4C" w:themeColor="accent6"/>
          <w:bottom w:val="single" w:sz="8" w:space="0" w:color="082F4C" w:themeColor="accent6"/>
          <w:right w:val="single" w:sz="8" w:space="0" w:color="082F4C" w:themeColor="accent6"/>
          <w:insideV w:val="single" w:sz="8" w:space="0" w:color="082F4C" w:themeColor="accent6"/>
        </w:tcBorders>
      </w:tcPr>
    </w:tblStylePr>
  </w:style>
  <w:style w:type="table" w:styleId="MediumShading1">
    <w:name w:val="Medium Shading 1"/>
    <w:basedOn w:val="TableNormal"/>
    <w:uiPriority w:val="63"/>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8BEEB" w:themeColor="text1" w:themeTint="BF"/>
        <w:left w:val="single" w:sz="8" w:space="0" w:color="08BEEB" w:themeColor="text1" w:themeTint="BF"/>
        <w:bottom w:val="single" w:sz="8" w:space="0" w:color="08BEEB" w:themeColor="text1" w:themeTint="BF"/>
        <w:right w:val="single" w:sz="8" w:space="0" w:color="08BEEB" w:themeColor="text1" w:themeTint="BF"/>
        <w:insideH w:val="single" w:sz="8" w:space="0" w:color="08BEEB" w:themeColor="text1" w:themeTint="BF"/>
      </w:tblBorders>
    </w:tblPr>
    <w:tblStylePr w:type="firstRow">
      <w:pPr>
        <w:spacing w:before="0" w:after="0" w:line="240" w:lineRule="auto"/>
      </w:pPr>
      <w:rPr>
        <w:b/>
        <w:bCs/>
        <w:color w:val="FFFEFF" w:themeColor="background1"/>
      </w:rPr>
      <w:tblPr/>
      <w:tcPr>
        <w:tcBorders>
          <w:top w:val="single" w:sz="8" w:space="0" w:color="08BEEB" w:themeColor="text1" w:themeTint="BF"/>
          <w:left w:val="single" w:sz="8" w:space="0" w:color="08BEEB" w:themeColor="text1" w:themeTint="BF"/>
          <w:bottom w:val="single" w:sz="8" w:space="0" w:color="08BEEB" w:themeColor="text1" w:themeTint="BF"/>
          <w:right w:val="single" w:sz="8" w:space="0" w:color="08BEEB" w:themeColor="text1" w:themeTint="BF"/>
          <w:insideH w:val="nil"/>
          <w:insideV w:val="nil"/>
        </w:tcBorders>
        <w:shd w:val="clear" w:color="auto" w:fill="057995" w:themeFill="text1"/>
      </w:tcPr>
    </w:tblStylePr>
    <w:tblStylePr w:type="lastRow">
      <w:pPr>
        <w:spacing w:before="0" w:after="0" w:line="240" w:lineRule="auto"/>
      </w:pPr>
      <w:rPr>
        <w:b/>
        <w:bCs/>
      </w:rPr>
      <w:tblPr/>
      <w:tcPr>
        <w:tcBorders>
          <w:top w:val="double" w:sz="6" w:space="0" w:color="08BEEB" w:themeColor="text1" w:themeTint="BF"/>
          <w:left w:val="single" w:sz="8" w:space="0" w:color="08BEEB" w:themeColor="text1" w:themeTint="BF"/>
          <w:bottom w:val="single" w:sz="8" w:space="0" w:color="08BEEB" w:themeColor="text1" w:themeTint="BF"/>
          <w:right w:val="single" w:sz="8" w:space="0" w:color="08BEEB" w:themeColor="text1" w:themeTint="BF"/>
          <w:insideH w:val="nil"/>
          <w:insideV w:val="nil"/>
        </w:tcBorders>
      </w:tcPr>
    </w:tblStylePr>
    <w:tblStylePr w:type="firstCol">
      <w:rPr>
        <w:b/>
        <w:bCs/>
      </w:rPr>
    </w:tblStylePr>
    <w:tblStylePr w:type="lastCol">
      <w:rPr>
        <w:b/>
        <w:bCs/>
      </w:rPr>
    </w:tblStylePr>
    <w:tblStylePr w:type="band1Vert">
      <w:tblPr/>
      <w:tcPr>
        <w:shd w:val="clear" w:color="auto" w:fill="A9ECFC" w:themeFill="text1" w:themeFillTint="3F"/>
      </w:tcPr>
    </w:tblStylePr>
    <w:tblStylePr w:type="band1Horz">
      <w:tblPr/>
      <w:tcPr>
        <w:tcBorders>
          <w:insideH w:val="nil"/>
          <w:insideV w:val="nil"/>
        </w:tcBorders>
        <w:shd w:val="clear" w:color="auto" w:fill="A9ECF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8BEEB" w:themeColor="accent1" w:themeTint="BF"/>
        <w:left w:val="single" w:sz="8" w:space="0" w:color="08BEEB" w:themeColor="accent1" w:themeTint="BF"/>
        <w:bottom w:val="single" w:sz="8" w:space="0" w:color="08BEEB" w:themeColor="accent1" w:themeTint="BF"/>
        <w:right w:val="single" w:sz="8" w:space="0" w:color="08BEEB" w:themeColor="accent1" w:themeTint="BF"/>
        <w:insideH w:val="single" w:sz="8" w:space="0" w:color="08BEEB" w:themeColor="accent1" w:themeTint="BF"/>
      </w:tblBorders>
    </w:tblPr>
    <w:tblStylePr w:type="firstRow">
      <w:pPr>
        <w:spacing w:before="0" w:after="0" w:line="240" w:lineRule="auto"/>
      </w:pPr>
      <w:rPr>
        <w:b/>
        <w:bCs/>
        <w:color w:val="FFFEFF" w:themeColor="background1"/>
      </w:rPr>
      <w:tblPr/>
      <w:tcPr>
        <w:tcBorders>
          <w:top w:val="single" w:sz="8" w:space="0" w:color="08BEEB" w:themeColor="accent1" w:themeTint="BF"/>
          <w:left w:val="single" w:sz="8" w:space="0" w:color="08BEEB" w:themeColor="accent1" w:themeTint="BF"/>
          <w:bottom w:val="single" w:sz="8" w:space="0" w:color="08BEEB" w:themeColor="accent1" w:themeTint="BF"/>
          <w:right w:val="single" w:sz="8" w:space="0" w:color="08BEEB" w:themeColor="accent1" w:themeTint="BF"/>
          <w:insideH w:val="nil"/>
          <w:insideV w:val="nil"/>
        </w:tcBorders>
        <w:shd w:val="clear" w:color="auto" w:fill="057995" w:themeFill="accent1"/>
      </w:tcPr>
    </w:tblStylePr>
    <w:tblStylePr w:type="lastRow">
      <w:pPr>
        <w:spacing w:before="0" w:after="0" w:line="240" w:lineRule="auto"/>
      </w:pPr>
      <w:rPr>
        <w:b/>
        <w:bCs/>
      </w:rPr>
      <w:tblPr/>
      <w:tcPr>
        <w:tcBorders>
          <w:top w:val="double" w:sz="6" w:space="0" w:color="08BEEB" w:themeColor="accent1" w:themeTint="BF"/>
          <w:left w:val="single" w:sz="8" w:space="0" w:color="08BEEB" w:themeColor="accent1" w:themeTint="BF"/>
          <w:bottom w:val="single" w:sz="8" w:space="0" w:color="08BEEB" w:themeColor="accent1" w:themeTint="BF"/>
          <w:right w:val="single" w:sz="8" w:space="0" w:color="08BEEB" w:themeColor="accent1" w:themeTint="BF"/>
          <w:insideH w:val="nil"/>
          <w:insideV w:val="nil"/>
        </w:tcBorders>
      </w:tcPr>
    </w:tblStylePr>
    <w:tblStylePr w:type="firstCol">
      <w:rPr>
        <w:b/>
        <w:bCs/>
      </w:rPr>
    </w:tblStylePr>
    <w:tblStylePr w:type="lastCol">
      <w:rPr>
        <w:b/>
        <w:bCs/>
      </w:rPr>
    </w:tblStylePr>
    <w:tblStylePr w:type="band1Vert">
      <w:tblPr/>
      <w:tcPr>
        <w:shd w:val="clear" w:color="auto" w:fill="A9ECFC" w:themeFill="accent1" w:themeFillTint="3F"/>
      </w:tcPr>
    </w:tblStylePr>
    <w:tblStylePr w:type="band1Horz">
      <w:tblPr/>
      <w:tcPr>
        <w:tcBorders>
          <w:insideH w:val="nil"/>
          <w:insideV w:val="nil"/>
        </w:tcBorders>
        <w:shd w:val="clear" w:color="auto" w:fill="A9ECF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26AAC" w:themeColor="accent2" w:themeTint="BF"/>
        <w:left w:val="single" w:sz="8" w:space="0" w:color="126AAC" w:themeColor="accent2" w:themeTint="BF"/>
        <w:bottom w:val="single" w:sz="8" w:space="0" w:color="126AAC" w:themeColor="accent2" w:themeTint="BF"/>
        <w:right w:val="single" w:sz="8" w:space="0" w:color="126AAC" w:themeColor="accent2" w:themeTint="BF"/>
        <w:insideH w:val="single" w:sz="8" w:space="0" w:color="126AAC" w:themeColor="accent2" w:themeTint="BF"/>
      </w:tblBorders>
    </w:tblPr>
    <w:tblStylePr w:type="firstRow">
      <w:pPr>
        <w:spacing w:before="0" w:after="0" w:line="240" w:lineRule="auto"/>
      </w:pPr>
      <w:rPr>
        <w:b/>
        <w:bCs/>
        <w:color w:val="FFFEFF" w:themeColor="background1"/>
      </w:rPr>
      <w:tblPr/>
      <w:tcPr>
        <w:tcBorders>
          <w:top w:val="single" w:sz="8" w:space="0" w:color="126AAC" w:themeColor="accent2" w:themeTint="BF"/>
          <w:left w:val="single" w:sz="8" w:space="0" w:color="126AAC" w:themeColor="accent2" w:themeTint="BF"/>
          <w:bottom w:val="single" w:sz="8" w:space="0" w:color="126AAC" w:themeColor="accent2" w:themeTint="BF"/>
          <w:right w:val="single" w:sz="8" w:space="0" w:color="126AAC" w:themeColor="accent2" w:themeTint="BF"/>
          <w:insideH w:val="nil"/>
          <w:insideV w:val="nil"/>
        </w:tcBorders>
        <w:shd w:val="clear" w:color="auto" w:fill="082F4C" w:themeFill="accent2"/>
      </w:tcPr>
    </w:tblStylePr>
    <w:tblStylePr w:type="lastRow">
      <w:pPr>
        <w:spacing w:before="0" w:after="0" w:line="240" w:lineRule="auto"/>
      </w:pPr>
      <w:rPr>
        <w:b/>
        <w:bCs/>
      </w:rPr>
      <w:tblPr/>
      <w:tcPr>
        <w:tcBorders>
          <w:top w:val="double" w:sz="6" w:space="0" w:color="126AAC" w:themeColor="accent2" w:themeTint="BF"/>
          <w:left w:val="single" w:sz="8" w:space="0" w:color="126AAC" w:themeColor="accent2" w:themeTint="BF"/>
          <w:bottom w:val="single" w:sz="8" w:space="0" w:color="126AAC" w:themeColor="accent2" w:themeTint="BF"/>
          <w:right w:val="single" w:sz="8" w:space="0" w:color="126AAC" w:themeColor="accent2" w:themeTint="BF"/>
          <w:insideH w:val="nil"/>
          <w:insideV w:val="nil"/>
        </w:tcBorders>
      </w:tcPr>
    </w:tblStylePr>
    <w:tblStylePr w:type="firstCol">
      <w:rPr>
        <w:b/>
        <w:bCs/>
      </w:rPr>
    </w:tblStylePr>
    <w:tblStylePr w:type="lastCol">
      <w:rPr>
        <w:b/>
        <w:bCs/>
      </w:rPr>
    </w:tblStylePr>
    <w:tblStylePr w:type="band1Vert">
      <w:tblPr/>
      <w:tcPr>
        <w:shd w:val="clear" w:color="auto" w:fill="9FD0F5" w:themeFill="accent2" w:themeFillTint="3F"/>
      </w:tcPr>
    </w:tblStylePr>
    <w:tblStylePr w:type="band1Horz">
      <w:tblPr/>
      <w:tcPr>
        <w:tcBorders>
          <w:insideH w:val="nil"/>
          <w:insideV w:val="nil"/>
        </w:tcBorders>
        <w:shd w:val="clear" w:color="auto" w:fill="9FD0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DB346A" w:themeColor="accent3" w:themeTint="BF"/>
        <w:left w:val="single" w:sz="8" w:space="0" w:color="DB346A" w:themeColor="accent3" w:themeTint="BF"/>
        <w:bottom w:val="single" w:sz="8" w:space="0" w:color="DB346A" w:themeColor="accent3" w:themeTint="BF"/>
        <w:right w:val="single" w:sz="8" w:space="0" w:color="DB346A" w:themeColor="accent3" w:themeTint="BF"/>
        <w:insideH w:val="single" w:sz="8" w:space="0" w:color="DB346A" w:themeColor="accent3" w:themeTint="BF"/>
      </w:tblBorders>
    </w:tblPr>
    <w:tblStylePr w:type="firstRow">
      <w:pPr>
        <w:spacing w:before="0" w:after="0" w:line="240" w:lineRule="auto"/>
      </w:pPr>
      <w:rPr>
        <w:b/>
        <w:bCs/>
        <w:color w:val="FFFEFF" w:themeColor="background1"/>
      </w:rPr>
      <w:tblPr/>
      <w:tcPr>
        <w:tcBorders>
          <w:top w:val="single" w:sz="8" w:space="0" w:color="DB346A" w:themeColor="accent3" w:themeTint="BF"/>
          <w:left w:val="single" w:sz="8" w:space="0" w:color="DB346A" w:themeColor="accent3" w:themeTint="BF"/>
          <w:bottom w:val="single" w:sz="8" w:space="0" w:color="DB346A" w:themeColor="accent3" w:themeTint="BF"/>
          <w:right w:val="single" w:sz="8" w:space="0" w:color="DB346A" w:themeColor="accent3" w:themeTint="BF"/>
          <w:insideH w:val="nil"/>
          <w:insideV w:val="nil"/>
        </w:tcBorders>
        <w:shd w:val="clear" w:color="auto" w:fill="A31D49" w:themeFill="accent3"/>
      </w:tcPr>
    </w:tblStylePr>
    <w:tblStylePr w:type="lastRow">
      <w:pPr>
        <w:spacing w:before="0" w:after="0" w:line="240" w:lineRule="auto"/>
      </w:pPr>
      <w:rPr>
        <w:b/>
        <w:bCs/>
      </w:rPr>
      <w:tblPr/>
      <w:tcPr>
        <w:tcBorders>
          <w:top w:val="double" w:sz="6" w:space="0" w:color="DB346A" w:themeColor="accent3" w:themeTint="BF"/>
          <w:left w:val="single" w:sz="8" w:space="0" w:color="DB346A" w:themeColor="accent3" w:themeTint="BF"/>
          <w:bottom w:val="single" w:sz="8" w:space="0" w:color="DB346A" w:themeColor="accent3" w:themeTint="BF"/>
          <w:right w:val="single" w:sz="8" w:space="0" w:color="DB346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3BCCE" w:themeFill="accent3" w:themeFillTint="3F"/>
      </w:tcPr>
    </w:tblStylePr>
    <w:tblStylePr w:type="band1Horz">
      <w:tblPr/>
      <w:tcPr>
        <w:tcBorders>
          <w:insideH w:val="nil"/>
          <w:insideV w:val="nil"/>
        </w:tcBorders>
        <w:shd w:val="clear" w:color="auto" w:fill="F3BC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DAD3CB" w:themeColor="accent4" w:themeTint="BF"/>
        <w:left w:val="single" w:sz="8" w:space="0" w:color="DAD3CB" w:themeColor="accent4" w:themeTint="BF"/>
        <w:bottom w:val="single" w:sz="8" w:space="0" w:color="DAD3CB" w:themeColor="accent4" w:themeTint="BF"/>
        <w:right w:val="single" w:sz="8" w:space="0" w:color="DAD3CB" w:themeColor="accent4" w:themeTint="BF"/>
        <w:insideH w:val="single" w:sz="8" w:space="0" w:color="DAD3CB" w:themeColor="accent4" w:themeTint="BF"/>
      </w:tblBorders>
    </w:tblPr>
    <w:tblStylePr w:type="firstRow">
      <w:pPr>
        <w:spacing w:before="0" w:after="0" w:line="240" w:lineRule="auto"/>
      </w:pPr>
      <w:rPr>
        <w:b/>
        <w:bCs/>
        <w:color w:val="FFFEFF" w:themeColor="background1"/>
      </w:rPr>
      <w:tblPr/>
      <w:tcPr>
        <w:tcBorders>
          <w:top w:val="single" w:sz="8" w:space="0" w:color="DAD3CB" w:themeColor="accent4" w:themeTint="BF"/>
          <w:left w:val="single" w:sz="8" w:space="0" w:color="DAD3CB" w:themeColor="accent4" w:themeTint="BF"/>
          <w:bottom w:val="single" w:sz="8" w:space="0" w:color="DAD3CB" w:themeColor="accent4" w:themeTint="BF"/>
          <w:right w:val="single" w:sz="8" w:space="0" w:color="DAD3CB" w:themeColor="accent4" w:themeTint="BF"/>
          <w:insideH w:val="nil"/>
          <w:insideV w:val="nil"/>
        </w:tcBorders>
        <w:shd w:val="clear" w:color="auto" w:fill="CEC5BA" w:themeFill="accent4"/>
      </w:tcPr>
    </w:tblStylePr>
    <w:tblStylePr w:type="lastRow">
      <w:pPr>
        <w:spacing w:before="0" w:after="0" w:line="240" w:lineRule="auto"/>
      </w:pPr>
      <w:rPr>
        <w:b/>
        <w:bCs/>
      </w:rPr>
      <w:tblPr/>
      <w:tcPr>
        <w:tcBorders>
          <w:top w:val="double" w:sz="6" w:space="0" w:color="DAD3CB" w:themeColor="accent4" w:themeTint="BF"/>
          <w:left w:val="single" w:sz="8" w:space="0" w:color="DAD3CB" w:themeColor="accent4" w:themeTint="BF"/>
          <w:bottom w:val="single" w:sz="8" w:space="0" w:color="DAD3CB" w:themeColor="accent4" w:themeTint="BF"/>
          <w:right w:val="single" w:sz="8" w:space="0" w:color="DAD3CB"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F0ED" w:themeFill="accent4" w:themeFillTint="3F"/>
      </w:tcPr>
    </w:tblStylePr>
    <w:tblStylePr w:type="band1Horz">
      <w:tblPr/>
      <w:tcPr>
        <w:tcBorders>
          <w:insideH w:val="nil"/>
          <w:insideV w:val="nil"/>
        </w:tcBorders>
        <w:shd w:val="clear" w:color="auto" w:fill="F2F0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8BEEB" w:themeColor="accent5" w:themeTint="BF"/>
        <w:left w:val="single" w:sz="8" w:space="0" w:color="08BEEB" w:themeColor="accent5" w:themeTint="BF"/>
        <w:bottom w:val="single" w:sz="8" w:space="0" w:color="08BEEB" w:themeColor="accent5" w:themeTint="BF"/>
        <w:right w:val="single" w:sz="8" w:space="0" w:color="08BEEB" w:themeColor="accent5" w:themeTint="BF"/>
        <w:insideH w:val="single" w:sz="8" w:space="0" w:color="08BEEB" w:themeColor="accent5" w:themeTint="BF"/>
      </w:tblBorders>
    </w:tblPr>
    <w:tblStylePr w:type="firstRow">
      <w:pPr>
        <w:spacing w:before="0" w:after="0" w:line="240" w:lineRule="auto"/>
      </w:pPr>
      <w:rPr>
        <w:b/>
        <w:bCs/>
        <w:color w:val="FFFEFF" w:themeColor="background1"/>
      </w:rPr>
      <w:tblPr/>
      <w:tcPr>
        <w:tcBorders>
          <w:top w:val="single" w:sz="8" w:space="0" w:color="08BEEB" w:themeColor="accent5" w:themeTint="BF"/>
          <w:left w:val="single" w:sz="8" w:space="0" w:color="08BEEB" w:themeColor="accent5" w:themeTint="BF"/>
          <w:bottom w:val="single" w:sz="8" w:space="0" w:color="08BEEB" w:themeColor="accent5" w:themeTint="BF"/>
          <w:right w:val="single" w:sz="8" w:space="0" w:color="08BEEB" w:themeColor="accent5" w:themeTint="BF"/>
          <w:insideH w:val="nil"/>
          <w:insideV w:val="nil"/>
        </w:tcBorders>
        <w:shd w:val="clear" w:color="auto" w:fill="057995" w:themeFill="accent5"/>
      </w:tcPr>
    </w:tblStylePr>
    <w:tblStylePr w:type="lastRow">
      <w:pPr>
        <w:spacing w:before="0" w:after="0" w:line="240" w:lineRule="auto"/>
      </w:pPr>
      <w:rPr>
        <w:b/>
        <w:bCs/>
      </w:rPr>
      <w:tblPr/>
      <w:tcPr>
        <w:tcBorders>
          <w:top w:val="double" w:sz="6" w:space="0" w:color="08BEEB" w:themeColor="accent5" w:themeTint="BF"/>
          <w:left w:val="single" w:sz="8" w:space="0" w:color="08BEEB" w:themeColor="accent5" w:themeTint="BF"/>
          <w:bottom w:val="single" w:sz="8" w:space="0" w:color="08BEEB" w:themeColor="accent5" w:themeTint="BF"/>
          <w:right w:val="single" w:sz="8" w:space="0" w:color="08BEEB" w:themeColor="accent5" w:themeTint="BF"/>
          <w:insideH w:val="nil"/>
          <w:insideV w:val="nil"/>
        </w:tcBorders>
      </w:tcPr>
    </w:tblStylePr>
    <w:tblStylePr w:type="firstCol">
      <w:rPr>
        <w:b/>
        <w:bCs/>
      </w:rPr>
    </w:tblStylePr>
    <w:tblStylePr w:type="lastCol">
      <w:rPr>
        <w:b/>
        <w:bCs/>
      </w:rPr>
    </w:tblStylePr>
    <w:tblStylePr w:type="band1Vert">
      <w:tblPr/>
      <w:tcPr>
        <w:shd w:val="clear" w:color="auto" w:fill="A9ECFC" w:themeFill="accent5" w:themeFillTint="3F"/>
      </w:tcPr>
    </w:tblStylePr>
    <w:tblStylePr w:type="band1Horz">
      <w:tblPr/>
      <w:tcPr>
        <w:tcBorders>
          <w:insideH w:val="nil"/>
          <w:insideV w:val="nil"/>
        </w:tcBorders>
        <w:shd w:val="clear" w:color="auto" w:fill="A9ECF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26AAC" w:themeColor="accent6" w:themeTint="BF"/>
        <w:left w:val="single" w:sz="8" w:space="0" w:color="126AAC" w:themeColor="accent6" w:themeTint="BF"/>
        <w:bottom w:val="single" w:sz="8" w:space="0" w:color="126AAC" w:themeColor="accent6" w:themeTint="BF"/>
        <w:right w:val="single" w:sz="8" w:space="0" w:color="126AAC" w:themeColor="accent6" w:themeTint="BF"/>
        <w:insideH w:val="single" w:sz="8" w:space="0" w:color="126AAC" w:themeColor="accent6" w:themeTint="BF"/>
      </w:tblBorders>
    </w:tblPr>
    <w:tblStylePr w:type="firstRow">
      <w:pPr>
        <w:spacing w:before="0" w:after="0" w:line="240" w:lineRule="auto"/>
      </w:pPr>
      <w:rPr>
        <w:b/>
        <w:bCs/>
        <w:color w:val="FFFEFF" w:themeColor="background1"/>
      </w:rPr>
      <w:tblPr/>
      <w:tcPr>
        <w:tcBorders>
          <w:top w:val="single" w:sz="8" w:space="0" w:color="126AAC" w:themeColor="accent6" w:themeTint="BF"/>
          <w:left w:val="single" w:sz="8" w:space="0" w:color="126AAC" w:themeColor="accent6" w:themeTint="BF"/>
          <w:bottom w:val="single" w:sz="8" w:space="0" w:color="126AAC" w:themeColor="accent6" w:themeTint="BF"/>
          <w:right w:val="single" w:sz="8" w:space="0" w:color="126AAC" w:themeColor="accent6" w:themeTint="BF"/>
          <w:insideH w:val="nil"/>
          <w:insideV w:val="nil"/>
        </w:tcBorders>
        <w:shd w:val="clear" w:color="auto" w:fill="082F4C" w:themeFill="accent6"/>
      </w:tcPr>
    </w:tblStylePr>
    <w:tblStylePr w:type="lastRow">
      <w:pPr>
        <w:spacing w:before="0" w:after="0" w:line="240" w:lineRule="auto"/>
      </w:pPr>
      <w:rPr>
        <w:b/>
        <w:bCs/>
      </w:rPr>
      <w:tblPr/>
      <w:tcPr>
        <w:tcBorders>
          <w:top w:val="double" w:sz="6" w:space="0" w:color="126AAC" w:themeColor="accent6" w:themeTint="BF"/>
          <w:left w:val="single" w:sz="8" w:space="0" w:color="126AAC" w:themeColor="accent6" w:themeTint="BF"/>
          <w:bottom w:val="single" w:sz="8" w:space="0" w:color="126AAC" w:themeColor="accent6" w:themeTint="BF"/>
          <w:right w:val="single" w:sz="8" w:space="0" w:color="126AAC" w:themeColor="accent6" w:themeTint="BF"/>
          <w:insideH w:val="nil"/>
          <w:insideV w:val="nil"/>
        </w:tcBorders>
      </w:tcPr>
    </w:tblStylePr>
    <w:tblStylePr w:type="firstCol">
      <w:rPr>
        <w:b/>
        <w:bCs/>
      </w:rPr>
    </w:tblStylePr>
    <w:tblStylePr w:type="lastCol">
      <w:rPr>
        <w:b/>
        <w:bCs/>
      </w:rPr>
    </w:tblStylePr>
    <w:tblStylePr w:type="band1Vert">
      <w:tblPr/>
      <w:tcPr>
        <w:shd w:val="clear" w:color="auto" w:fill="9FD0F5" w:themeFill="accent6" w:themeFillTint="3F"/>
      </w:tcPr>
    </w:tblStylePr>
    <w:tblStylePr w:type="band1Horz">
      <w:tblPr/>
      <w:tcPr>
        <w:tcBorders>
          <w:insideH w:val="nil"/>
          <w:insideV w:val="nil"/>
        </w:tcBorders>
        <w:shd w:val="clear" w:color="auto" w:fill="9FD0F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EFF" w:themeColor="background1"/>
      </w:rPr>
      <w:tblPr/>
      <w:tcPr>
        <w:tcBorders>
          <w:top w:val="single" w:sz="18" w:space="0" w:color="auto"/>
          <w:left w:val="nil"/>
          <w:bottom w:val="single" w:sz="18" w:space="0" w:color="auto"/>
          <w:right w:val="nil"/>
          <w:insideH w:val="nil"/>
          <w:insideV w:val="nil"/>
        </w:tcBorders>
        <w:shd w:val="clear" w:color="auto" w:fill="057995"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EFF" w:themeFill="background1"/>
      </w:tcPr>
    </w:tblStylePr>
    <w:tblStylePr w:type="firstCol">
      <w:rPr>
        <w:b/>
        <w:bCs/>
        <w:color w:val="FFFEFF" w:themeColor="background1"/>
      </w:rPr>
      <w:tblPr/>
      <w:tcPr>
        <w:tcBorders>
          <w:top w:val="nil"/>
          <w:left w:val="nil"/>
          <w:bottom w:val="single" w:sz="18" w:space="0" w:color="auto"/>
          <w:right w:val="nil"/>
          <w:insideH w:val="nil"/>
          <w:insideV w:val="nil"/>
        </w:tcBorders>
        <w:shd w:val="clear" w:color="auto" w:fill="057995" w:themeFill="text1"/>
      </w:tcPr>
    </w:tblStylePr>
    <w:tblStylePr w:type="lastCol">
      <w:rPr>
        <w:b/>
        <w:bCs/>
        <w:color w:val="FFFEFF" w:themeColor="background1"/>
      </w:rPr>
      <w:tblPr/>
      <w:tcPr>
        <w:tcBorders>
          <w:left w:val="nil"/>
          <w:right w:val="nil"/>
          <w:insideH w:val="nil"/>
          <w:insideV w:val="nil"/>
        </w:tcBorders>
        <w:shd w:val="clear" w:color="auto" w:fill="057995" w:themeFill="text1"/>
      </w:tcPr>
    </w:tblStylePr>
    <w:tblStylePr w:type="band1Vert">
      <w:tblPr/>
      <w:tcPr>
        <w:tcBorders>
          <w:left w:val="nil"/>
          <w:right w:val="nil"/>
          <w:insideH w:val="nil"/>
          <w:insideV w:val="nil"/>
        </w:tcBorders>
        <w:shd w:val="clear" w:color="auto" w:fill="FFB0FF" w:themeFill="background1" w:themeFillShade="D8"/>
      </w:tcPr>
    </w:tblStylePr>
    <w:tblStylePr w:type="band1Horz">
      <w:tblPr/>
      <w:tcPr>
        <w:shd w:val="clear" w:color="auto" w:fill="FFB0F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E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EFF" w:themeColor="background1"/>
      </w:rPr>
      <w:tblPr/>
      <w:tcPr>
        <w:tcBorders>
          <w:top w:val="single" w:sz="18" w:space="0" w:color="auto"/>
          <w:left w:val="nil"/>
          <w:bottom w:val="single" w:sz="18" w:space="0" w:color="auto"/>
          <w:right w:val="nil"/>
          <w:insideH w:val="nil"/>
          <w:insideV w:val="nil"/>
        </w:tcBorders>
        <w:shd w:val="clear" w:color="auto" w:fill="05799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EFF" w:themeFill="background1"/>
      </w:tcPr>
    </w:tblStylePr>
    <w:tblStylePr w:type="firstCol">
      <w:rPr>
        <w:b/>
        <w:bCs/>
        <w:color w:val="FFFEFF" w:themeColor="background1"/>
      </w:rPr>
      <w:tblPr/>
      <w:tcPr>
        <w:tcBorders>
          <w:top w:val="nil"/>
          <w:left w:val="nil"/>
          <w:bottom w:val="single" w:sz="18" w:space="0" w:color="auto"/>
          <w:right w:val="nil"/>
          <w:insideH w:val="nil"/>
          <w:insideV w:val="nil"/>
        </w:tcBorders>
        <w:shd w:val="clear" w:color="auto" w:fill="057995" w:themeFill="accent1"/>
      </w:tcPr>
    </w:tblStylePr>
    <w:tblStylePr w:type="lastCol">
      <w:rPr>
        <w:b/>
        <w:bCs/>
        <w:color w:val="FFFEFF" w:themeColor="background1"/>
      </w:rPr>
      <w:tblPr/>
      <w:tcPr>
        <w:tcBorders>
          <w:left w:val="nil"/>
          <w:right w:val="nil"/>
          <w:insideH w:val="nil"/>
          <w:insideV w:val="nil"/>
        </w:tcBorders>
        <w:shd w:val="clear" w:color="auto" w:fill="057995" w:themeFill="accent1"/>
      </w:tcPr>
    </w:tblStylePr>
    <w:tblStylePr w:type="band1Vert">
      <w:tblPr/>
      <w:tcPr>
        <w:tcBorders>
          <w:left w:val="nil"/>
          <w:right w:val="nil"/>
          <w:insideH w:val="nil"/>
          <w:insideV w:val="nil"/>
        </w:tcBorders>
        <w:shd w:val="clear" w:color="auto" w:fill="FFB0FF" w:themeFill="background1" w:themeFillShade="D8"/>
      </w:tcPr>
    </w:tblStylePr>
    <w:tblStylePr w:type="band1Horz">
      <w:tblPr/>
      <w:tcPr>
        <w:shd w:val="clear" w:color="auto" w:fill="FFB0F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E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EFF" w:themeColor="background1"/>
      </w:rPr>
      <w:tblPr/>
      <w:tcPr>
        <w:tcBorders>
          <w:top w:val="single" w:sz="18" w:space="0" w:color="auto"/>
          <w:left w:val="nil"/>
          <w:bottom w:val="single" w:sz="18" w:space="0" w:color="auto"/>
          <w:right w:val="nil"/>
          <w:insideH w:val="nil"/>
          <w:insideV w:val="nil"/>
        </w:tcBorders>
        <w:shd w:val="clear" w:color="auto" w:fill="082F4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EFF" w:themeFill="background1"/>
      </w:tcPr>
    </w:tblStylePr>
    <w:tblStylePr w:type="firstCol">
      <w:rPr>
        <w:b/>
        <w:bCs/>
        <w:color w:val="FFFEFF" w:themeColor="background1"/>
      </w:rPr>
      <w:tblPr/>
      <w:tcPr>
        <w:tcBorders>
          <w:top w:val="nil"/>
          <w:left w:val="nil"/>
          <w:bottom w:val="single" w:sz="18" w:space="0" w:color="auto"/>
          <w:right w:val="nil"/>
          <w:insideH w:val="nil"/>
          <w:insideV w:val="nil"/>
        </w:tcBorders>
        <w:shd w:val="clear" w:color="auto" w:fill="082F4C" w:themeFill="accent2"/>
      </w:tcPr>
    </w:tblStylePr>
    <w:tblStylePr w:type="lastCol">
      <w:rPr>
        <w:b/>
        <w:bCs/>
        <w:color w:val="FFFEFF" w:themeColor="background1"/>
      </w:rPr>
      <w:tblPr/>
      <w:tcPr>
        <w:tcBorders>
          <w:left w:val="nil"/>
          <w:right w:val="nil"/>
          <w:insideH w:val="nil"/>
          <w:insideV w:val="nil"/>
        </w:tcBorders>
        <w:shd w:val="clear" w:color="auto" w:fill="082F4C" w:themeFill="accent2"/>
      </w:tcPr>
    </w:tblStylePr>
    <w:tblStylePr w:type="band1Vert">
      <w:tblPr/>
      <w:tcPr>
        <w:tcBorders>
          <w:left w:val="nil"/>
          <w:right w:val="nil"/>
          <w:insideH w:val="nil"/>
          <w:insideV w:val="nil"/>
        </w:tcBorders>
        <w:shd w:val="clear" w:color="auto" w:fill="FFB0FF" w:themeFill="background1" w:themeFillShade="D8"/>
      </w:tcPr>
    </w:tblStylePr>
    <w:tblStylePr w:type="band1Horz">
      <w:tblPr/>
      <w:tcPr>
        <w:shd w:val="clear" w:color="auto" w:fill="FFB0F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E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EFF" w:themeColor="background1"/>
      </w:rPr>
      <w:tblPr/>
      <w:tcPr>
        <w:tcBorders>
          <w:top w:val="single" w:sz="18" w:space="0" w:color="auto"/>
          <w:left w:val="nil"/>
          <w:bottom w:val="single" w:sz="18" w:space="0" w:color="auto"/>
          <w:right w:val="nil"/>
          <w:insideH w:val="nil"/>
          <w:insideV w:val="nil"/>
        </w:tcBorders>
        <w:shd w:val="clear" w:color="auto" w:fill="A31D4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EFF" w:themeFill="background1"/>
      </w:tcPr>
    </w:tblStylePr>
    <w:tblStylePr w:type="firstCol">
      <w:rPr>
        <w:b/>
        <w:bCs/>
        <w:color w:val="FFFEFF" w:themeColor="background1"/>
      </w:rPr>
      <w:tblPr/>
      <w:tcPr>
        <w:tcBorders>
          <w:top w:val="nil"/>
          <w:left w:val="nil"/>
          <w:bottom w:val="single" w:sz="18" w:space="0" w:color="auto"/>
          <w:right w:val="nil"/>
          <w:insideH w:val="nil"/>
          <w:insideV w:val="nil"/>
        </w:tcBorders>
        <w:shd w:val="clear" w:color="auto" w:fill="A31D49" w:themeFill="accent3"/>
      </w:tcPr>
    </w:tblStylePr>
    <w:tblStylePr w:type="lastCol">
      <w:rPr>
        <w:b/>
        <w:bCs/>
        <w:color w:val="FFFEFF" w:themeColor="background1"/>
      </w:rPr>
      <w:tblPr/>
      <w:tcPr>
        <w:tcBorders>
          <w:left w:val="nil"/>
          <w:right w:val="nil"/>
          <w:insideH w:val="nil"/>
          <w:insideV w:val="nil"/>
        </w:tcBorders>
        <w:shd w:val="clear" w:color="auto" w:fill="A31D49" w:themeFill="accent3"/>
      </w:tcPr>
    </w:tblStylePr>
    <w:tblStylePr w:type="band1Vert">
      <w:tblPr/>
      <w:tcPr>
        <w:tcBorders>
          <w:left w:val="nil"/>
          <w:right w:val="nil"/>
          <w:insideH w:val="nil"/>
          <w:insideV w:val="nil"/>
        </w:tcBorders>
        <w:shd w:val="clear" w:color="auto" w:fill="FFB0FF" w:themeFill="background1" w:themeFillShade="D8"/>
      </w:tcPr>
    </w:tblStylePr>
    <w:tblStylePr w:type="band1Horz">
      <w:tblPr/>
      <w:tcPr>
        <w:shd w:val="clear" w:color="auto" w:fill="FFB0F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E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EFF" w:themeColor="background1"/>
      </w:rPr>
      <w:tblPr/>
      <w:tcPr>
        <w:tcBorders>
          <w:top w:val="single" w:sz="18" w:space="0" w:color="auto"/>
          <w:left w:val="nil"/>
          <w:bottom w:val="single" w:sz="18" w:space="0" w:color="auto"/>
          <w:right w:val="nil"/>
          <w:insideH w:val="nil"/>
          <w:insideV w:val="nil"/>
        </w:tcBorders>
        <w:shd w:val="clear" w:color="auto" w:fill="CEC5B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EFF" w:themeFill="background1"/>
      </w:tcPr>
    </w:tblStylePr>
    <w:tblStylePr w:type="firstCol">
      <w:rPr>
        <w:b/>
        <w:bCs/>
        <w:color w:val="FFFEFF" w:themeColor="background1"/>
      </w:rPr>
      <w:tblPr/>
      <w:tcPr>
        <w:tcBorders>
          <w:top w:val="nil"/>
          <w:left w:val="nil"/>
          <w:bottom w:val="single" w:sz="18" w:space="0" w:color="auto"/>
          <w:right w:val="nil"/>
          <w:insideH w:val="nil"/>
          <w:insideV w:val="nil"/>
        </w:tcBorders>
        <w:shd w:val="clear" w:color="auto" w:fill="CEC5BA" w:themeFill="accent4"/>
      </w:tcPr>
    </w:tblStylePr>
    <w:tblStylePr w:type="lastCol">
      <w:rPr>
        <w:b/>
        <w:bCs/>
        <w:color w:val="FFFEFF" w:themeColor="background1"/>
      </w:rPr>
      <w:tblPr/>
      <w:tcPr>
        <w:tcBorders>
          <w:left w:val="nil"/>
          <w:right w:val="nil"/>
          <w:insideH w:val="nil"/>
          <w:insideV w:val="nil"/>
        </w:tcBorders>
        <w:shd w:val="clear" w:color="auto" w:fill="CEC5BA" w:themeFill="accent4"/>
      </w:tcPr>
    </w:tblStylePr>
    <w:tblStylePr w:type="band1Vert">
      <w:tblPr/>
      <w:tcPr>
        <w:tcBorders>
          <w:left w:val="nil"/>
          <w:right w:val="nil"/>
          <w:insideH w:val="nil"/>
          <w:insideV w:val="nil"/>
        </w:tcBorders>
        <w:shd w:val="clear" w:color="auto" w:fill="FFB0FF" w:themeFill="background1" w:themeFillShade="D8"/>
      </w:tcPr>
    </w:tblStylePr>
    <w:tblStylePr w:type="band1Horz">
      <w:tblPr/>
      <w:tcPr>
        <w:shd w:val="clear" w:color="auto" w:fill="FFB0F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E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EFF" w:themeColor="background1"/>
      </w:rPr>
      <w:tblPr/>
      <w:tcPr>
        <w:tcBorders>
          <w:top w:val="single" w:sz="18" w:space="0" w:color="auto"/>
          <w:left w:val="nil"/>
          <w:bottom w:val="single" w:sz="18" w:space="0" w:color="auto"/>
          <w:right w:val="nil"/>
          <w:insideH w:val="nil"/>
          <w:insideV w:val="nil"/>
        </w:tcBorders>
        <w:shd w:val="clear" w:color="auto" w:fill="05799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EFF" w:themeFill="background1"/>
      </w:tcPr>
    </w:tblStylePr>
    <w:tblStylePr w:type="firstCol">
      <w:rPr>
        <w:b/>
        <w:bCs/>
        <w:color w:val="FFFEFF" w:themeColor="background1"/>
      </w:rPr>
      <w:tblPr/>
      <w:tcPr>
        <w:tcBorders>
          <w:top w:val="nil"/>
          <w:left w:val="nil"/>
          <w:bottom w:val="single" w:sz="18" w:space="0" w:color="auto"/>
          <w:right w:val="nil"/>
          <w:insideH w:val="nil"/>
          <w:insideV w:val="nil"/>
        </w:tcBorders>
        <w:shd w:val="clear" w:color="auto" w:fill="057995" w:themeFill="accent5"/>
      </w:tcPr>
    </w:tblStylePr>
    <w:tblStylePr w:type="lastCol">
      <w:rPr>
        <w:b/>
        <w:bCs/>
        <w:color w:val="FFFEFF" w:themeColor="background1"/>
      </w:rPr>
      <w:tblPr/>
      <w:tcPr>
        <w:tcBorders>
          <w:left w:val="nil"/>
          <w:right w:val="nil"/>
          <w:insideH w:val="nil"/>
          <w:insideV w:val="nil"/>
        </w:tcBorders>
        <w:shd w:val="clear" w:color="auto" w:fill="057995" w:themeFill="accent5"/>
      </w:tcPr>
    </w:tblStylePr>
    <w:tblStylePr w:type="band1Vert">
      <w:tblPr/>
      <w:tcPr>
        <w:tcBorders>
          <w:left w:val="nil"/>
          <w:right w:val="nil"/>
          <w:insideH w:val="nil"/>
          <w:insideV w:val="nil"/>
        </w:tcBorders>
        <w:shd w:val="clear" w:color="auto" w:fill="FFB0FF" w:themeFill="background1" w:themeFillShade="D8"/>
      </w:tcPr>
    </w:tblStylePr>
    <w:tblStylePr w:type="band1Horz">
      <w:tblPr/>
      <w:tcPr>
        <w:shd w:val="clear" w:color="auto" w:fill="FFB0F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E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EFF" w:themeColor="background1"/>
      </w:rPr>
      <w:tblPr/>
      <w:tcPr>
        <w:tcBorders>
          <w:top w:val="single" w:sz="18" w:space="0" w:color="auto"/>
          <w:left w:val="nil"/>
          <w:bottom w:val="single" w:sz="18" w:space="0" w:color="auto"/>
          <w:right w:val="nil"/>
          <w:insideH w:val="nil"/>
          <w:insideV w:val="nil"/>
        </w:tcBorders>
        <w:shd w:val="clear" w:color="auto" w:fill="082F4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EFF" w:themeFill="background1"/>
      </w:tcPr>
    </w:tblStylePr>
    <w:tblStylePr w:type="firstCol">
      <w:rPr>
        <w:b/>
        <w:bCs/>
        <w:color w:val="FFFEFF" w:themeColor="background1"/>
      </w:rPr>
      <w:tblPr/>
      <w:tcPr>
        <w:tcBorders>
          <w:top w:val="nil"/>
          <w:left w:val="nil"/>
          <w:bottom w:val="single" w:sz="18" w:space="0" w:color="auto"/>
          <w:right w:val="nil"/>
          <w:insideH w:val="nil"/>
          <w:insideV w:val="nil"/>
        </w:tcBorders>
        <w:shd w:val="clear" w:color="auto" w:fill="082F4C" w:themeFill="accent6"/>
      </w:tcPr>
    </w:tblStylePr>
    <w:tblStylePr w:type="lastCol">
      <w:rPr>
        <w:b/>
        <w:bCs/>
        <w:color w:val="FFFEFF" w:themeColor="background1"/>
      </w:rPr>
      <w:tblPr/>
      <w:tcPr>
        <w:tcBorders>
          <w:left w:val="nil"/>
          <w:right w:val="nil"/>
          <w:insideH w:val="nil"/>
          <w:insideV w:val="nil"/>
        </w:tcBorders>
        <w:shd w:val="clear" w:color="auto" w:fill="082F4C" w:themeFill="accent6"/>
      </w:tcPr>
    </w:tblStylePr>
    <w:tblStylePr w:type="band1Vert">
      <w:tblPr/>
      <w:tcPr>
        <w:tcBorders>
          <w:left w:val="nil"/>
          <w:right w:val="nil"/>
          <w:insideH w:val="nil"/>
          <w:insideV w:val="nil"/>
        </w:tcBorders>
        <w:shd w:val="clear" w:color="auto" w:fill="FFB0FF" w:themeFill="background1" w:themeFillShade="D8"/>
      </w:tcPr>
    </w:tblStylePr>
    <w:tblStylePr w:type="band1Horz">
      <w:tblPr/>
      <w:tcPr>
        <w:shd w:val="clear" w:color="auto" w:fill="FFB0F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E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top w:val="single" w:sz="8" w:space="0" w:color="057995" w:themeColor="text1"/>
        <w:bottom w:val="single" w:sz="8" w:space="0" w:color="057995" w:themeColor="text1"/>
      </w:tblBorders>
    </w:tblPr>
    <w:tblStylePr w:type="firstRow">
      <w:rPr>
        <w:rFonts w:asciiTheme="majorHAnsi" w:eastAsiaTheme="majorEastAsia" w:hAnsiTheme="majorHAnsi" w:cstheme="majorBidi"/>
      </w:rPr>
      <w:tblPr/>
      <w:tcPr>
        <w:tcBorders>
          <w:top w:val="nil"/>
          <w:bottom w:val="single" w:sz="8" w:space="0" w:color="057995" w:themeColor="text1"/>
        </w:tcBorders>
      </w:tcPr>
    </w:tblStylePr>
    <w:tblStylePr w:type="lastRow">
      <w:rPr>
        <w:b/>
        <w:bCs/>
        <w:color w:val="082F4C" w:themeColor="text2"/>
      </w:rPr>
      <w:tblPr/>
      <w:tcPr>
        <w:tcBorders>
          <w:top w:val="single" w:sz="8" w:space="0" w:color="057995" w:themeColor="text1"/>
          <w:bottom w:val="single" w:sz="8" w:space="0" w:color="057995" w:themeColor="text1"/>
        </w:tcBorders>
      </w:tcPr>
    </w:tblStylePr>
    <w:tblStylePr w:type="firstCol">
      <w:rPr>
        <w:b/>
        <w:bCs/>
      </w:rPr>
    </w:tblStylePr>
    <w:tblStylePr w:type="lastCol">
      <w:rPr>
        <w:b/>
        <w:bCs/>
      </w:rPr>
      <w:tblPr/>
      <w:tcPr>
        <w:tcBorders>
          <w:top w:val="single" w:sz="8" w:space="0" w:color="057995" w:themeColor="text1"/>
          <w:bottom w:val="single" w:sz="8" w:space="0" w:color="057995" w:themeColor="text1"/>
        </w:tcBorders>
      </w:tcPr>
    </w:tblStylePr>
    <w:tblStylePr w:type="band1Vert">
      <w:tblPr/>
      <w:tcPr>
        <w:shd w:val="clear" w:color="auto" w:fill="A9ECFC" w:themeFill="text1" w:themeFillTint="3F"/>
      </w:tcPr>
    </w:tblStylePr>
    <w:tblStylePr w:type="band1Horz">
      <w:tblPr/>
      <w:tcPr>
        <w:shd w:val="clear" w:color="auto" w:fill="A9ECFC" w:themeFill="text1" w:themeFillTint="3F"/>
      </w:tcPr>
    </w:tblStylePr>
  </w:style>
  <w:style w:type="table" w:styleId="MediumList1-Accent1">
    <w:name w:val="Medium List 1 Accent 1"/>
    <w:basedOn w:val="TableNormal"/>
    <w:uiPriority w:val="65"/>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top w:val="single" w:sz="8" w:space="0" w:color="057995" w:themeColor="accent1"/>
        <w:bottom w:val="single" w:sz="8" w:space="0" w:color="057995" w:themeColor="accent1"/>
      </w:tblBorders>
    </w:tblPr>
    <w:tblStylePr w:type="firstRow">
      <w:rPr>
        <w:rFonts w:asciiTheme="majorHAnsi" w:eastAsiaTheme="majorEastAsia" w:hAnsiTheme="majorHAnsi" w:cstheme="majorBidi"/>
      </w:rPr>
      <w:tblPr/>
      <w:tcPr>
        <w:tcBorders>
          <w:top w:val="nil"/>
          <w:bottom w:val="single" w:sz="8" w:space="0" w:color="057995" w:themeColor="accent1"/>
        </w:tcBorders>
      </w:tcPr>
    </w:tblStylePr>
    <w:tblStylePr w:type="lastRow">
      <w:rPr>
        <w:b/>
        <w:bCs/>
        <w:color w:val="082F4C" w:themeColor="text2"/>
      </w:rPr>
      <w:tblPr/>
      <w:tcPr>
        <w:tcBorders>
          <w:top w:val="single" w:sz="8" w:space="0" w:color="057995" w:themeColor="accent1"/>
          <w:bottom w:val="single" w:sz="8" w:space="0" w:color="057995" w:themeColor="accent1"/>
        </w:tcBorders>
      </w:tcPr>
    </w:tblStylePr>
    <w:tblStylePr w:type="firstCol">
      <w:rPr>
        <w:b/>
        <w:bCs/>
      </w:rPr>
    </w:tblStylePr>
    <w:tblStylePr w:type="lastCol">
      <w:rPr>
        <w:b/>
        <w:bCs/>
      </w:rPr>
      <w:tblPr/>
      <w:tcPr>
        <w:tcBorders>
          <w:top w:val="single" w:sz="8" w:space="0" w:color="057995" w:themeColor="accent1"/>
          <w:bottom w:val="single" w:sz="8" w:space="0" w:color="057995" w:themeColor="accent1"/>
        </w:tcBorders>
      </w:tcPr>
    </w:tblStylePr>
    <w:tblStylePr w:type="band1Vert">
      <w:tblPr/>
      <w:tcPr>
        <w:shd w:val="clear" w:color="auto" w:fill="A9ECFC" w:themeFill="accent1" w:themeFillTint="3F"/>
      </w:tcPr>
    </w:tblStylePr>
    <w:tblStylePr w:type="band1Horz">
      <w:tblPr/>
      <w:tcPr>
        <w:shd w:val="clear" w:color="auto" w:fill="A9ECFC" w:themeFill="accent1" w:themeFillTint="3F"/>
      </w:tcPr>
    </w:tblStylePr>
  </w:style>
  <w:style w:type="table" w:styleId="MediumList1-Accent2">
    <w:name w:val="Medium List 1 Accent 2"/>
    <w:basedOn w:val="TableNormal"/>
    <w:uiPriority w:val="65"/>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top w:val="single" w:sz="8" w:space="0" w:color="082F4C" w:themeColor="accent2"/>
        <w:bottom w:val="single" w:sz="8" w:space="0" w:color="082F4C" w:themeColor="accent2"/>
      </w:tblBorders>
    </w:tblPr>
    <w:tblStylePr w:type="firstRow">
      <w:rPr>
        <w:rFonts w:asciiTheme="majorHAnsi" w:eastAsiaTheme="majorEastAsia" w:hAnsiTheme="majorHAnsi" w:cstheme="majorBidi"/>
      </w:rPr>
      <w:tblPr/>
      <w:tcPr>
        <w:tcBorders>
          <w:top w:val="nil"/>
          <w:bottom w:val="single" w:sz="8" w:space="0" w:color="082F4C" w:themeColor="accent2"/>
        </w:tcBorders>
      </w:tcPr>
    </w:tblStylePr>
    <w:tblStylePr w:type="lastRow">
      <w:rPr>
        <w:b/>
        <w:bCs/>
        <w:color w:val="082F4C" w:themeColor="text2"/>
      </w:rPr>
      <w:tblPr/>
      <w:tcPr>
        <w:tcBorders>
          <w:top w:val="single" w:sz="8" w:space="0" w:color="082F4C" w:themeColor="accent2"/>
          <w:bottom w:val="single" w:sz="8" w:space="0" w:color="082F4C" w:themeColor="accent2"/>
        </w:tcBorders>
      </w:tcPr>
    </w:tblStylePr>
    <w:tblStylePr w:type="firstCol">
      <w:rPr>
        <w:b/>
        <w:bCs/>
      </w:rPr>
    </w:tblStylePr>
    <w:tblStylePr w:type="lastCol">
      <w:rPr>
        <w:b/>
        <w:bCs/>
      </w:rPr>
      <w:tblPr/>
      <w:tcPr>
        <w:tcBorders>
          <w:top w:val="single" w:sz="8" w:space="0" w:color="082F4C" w:themeColor="accent2"/>
          <w:bottom w:val="single" w:sz="8" w:space="0" w:color="082F4C" w:themeColor="accent2"/>
        </w:tcBorders>
      </w:tcPr>
    </w:tblStylePr>
    <w:tblStylePr w:type="band1Vert">
      <w:tblPr/>
      <w:tcPr>
        <w:shd w:val="clear" w:color="auto" w:fill="9FD0F5" w:themeFill="accent2" w:themeFillTint="3F"/>
      </w:tcPr>
    </w:tblStylePr>
    <w:tblStylePr w:type="band1Horz">
      <w:tblPr/>
      <w:tcPr>
        <w:shd w:val="clear" w:color="auto" w:fill="9FD0F5" w:themeFill="accent2" w:themeFillTint="3F"/>
      </w:tcPr>
    </w:tblStylePr>
  </w:style>
  <w:style w:type="table" w:styleId="MediumList1-Accent3">
    <w:name w:val="Medium List 1 Accent 3"/>
    <w:basedOn w:val="TableNormal"/>
    <w:uiPriority w:val="65"/>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top w:val="single" w:sz="8" w:space="0" w:color="A31D49" w:themeColor="accent3"/>
        <w:bottom w:val="single" w:sz="8" w:space="0" w:color="A31D49" w:themeColor="accent3"/>
      </w:tblBorders>
    </w:tblPr>
    <w:tblStylePr w:type="firstRow">
      <w:rPr>
        <w:rFonts w:asciiTheme="majorHAnsi" w:eastAsiaTheme="majorEastAsia" w:hAnsiTheme="majorHAnsi" w:cstheme="majorBidi"/>
      </w:rPr>
      <w:tblPr/>
      <w:tcPr>
        <w:tcBorders>
          <w:top w:val="nil"/>
          <w:bottom w:val="single" w:sz="8" w:space="0" w:color="A31D49" w:themeColor="accent3"/>
        </w:tcBorders>
      </w:tcPr>
    </w:tblStylePr>
    <w:tblStylePr w:type="lastRow">
      <w:rPr>
        <w:b/>
        <w:bCs/>
        <w:color w:val="082F4C" w:themeColor="text2"/>
      </w:rPr>
      <w:tblPr/>
      <w:tcPr>
        <w:tcBorders>
          <w:top w:val="single" w:sz="8" w:space="0" w:color="A31D49" w:themeColor="accent3"/>
          <w:bottom w:val="single" w:sz="8" w:space="0" w:color="A31D49" w:themeColor="accent3"/>
        </w:tcBorders>
      </w:tcPr>
    </w:tblStylePr>
    <w:tblStylePr w:type="firstCol">
      <w:rPr>
        <w:b/>
        <w:bCs/>
      </w:rPr>
    </w:tblStylePr>
    <w:tblStylePr w:type="lastCol">
      <w:rPr>
        <w:b/>
        <w:bCs/>
      </w:rPr>
      <w:tblPr/>
      <w:tcPr>
        <w:tcBorders>
          <w:top w:val="single" w:sz="8" w:space="0" w:color="A31D49" w:themeColor="accent3"/>
          <w:bottom w:val="single" w:sz="8" w:space="0" w:color="A31D49" w:themeColor="accent3"/>
        </w:tcBorders>
      </w:tcPr>
    </w:tblStylePr>
    <w:tblStylePr w:type="band1Vert">
      <w:tblPr/>
      <w:tcPr>
        <w:shd w:val="clear" w:color="auto" w:fill="F3BCCE" w:themeFill="accent3" w:themeFillTint="3F"/>
      </w:tcPr>
    </w:tblStylePr>
    <w:tblStylePr w:type="band1Horz">
      <w:tblPr/>
      <w:tcPr>
        <w:shd w:val="clear" w:color="auto" w:fill="F3BCCE" w:themeFill="accent3" w:themeFillTint="3F"/>
      </w:tcPr>
    </w:tblStylePr>
  </w:style>
  <w:style w:type="table" w:styleId="MediumList1-Accent4">
    <w:name w:val="Medium List 1 Accent 4"/>
    <w:basedOn w:val="TableNormal"/>
    <w:uiPriority w:val="65"/>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top w:val="single" w:sz="8" w:space="0" w:color="CEC5BA" w:themeColor="accent4"/>
        <w:bottom w:val="single" w:sz="8" w:space="0" w:color="CEC5BA" w:themeColor="accent4"/>
      </w:tblBorders>
    </w:tblPr>
    <w:tblStylePr w:type="firstRow">
      <w:rPr>
        <w:rFonts w:asciiTheme="majorHAnsi" w:eastAsiaTheme="majorEastAsia" w:hAnsiTheme="majorHAnsi" w:cstheme="majorBidi"/>
      </w:rPr>
      <w:tblPr/>
      <w:tcPr>
        <w:tcBorders>
          <w:top w:val="nil"/>
          <w:bottom w:val="single" w:sz="8" w:space="0" w:color="CEC5BA" w:themeColor="accent4"/>
        </w:tcBorders>
      </w:tcPr>
    </w:tblStylePr>
    <w:tblStylePr w:type="lastRow">
      <w:rPr>
        <w:b/>
        <w:bCs/>
        <w:color w:val="082F4C" w:themeColor="text2"/>
      </w:rPr>
      <w:tblPr/>
      <w:tcPr>
        <w:tcBorders>
          <w:top w:val="single" w:sz="8" w:space="0" w:color="CEC5BA" w:themeColor="accent4"/>
          <w:bottom w:val="single" w:sz="8" w:space="0" w:color="CEC5BA" w:themeColor="accent4"/>
        </w:tcBorders>
      </w:tcPr>
    </w:tblStylePr>
    <w:tblStylePr w:type="firstCol">
      <w:rPr>
        <w:b/>
        <w:bCs/>
      </w:rPr>
    </w:tblStylePr>
    <w:tblStylePr w:type="lastCol">
      <w:rPr>
        <w:b/>
        <w:bCs/>
      </w:rPr>
      <w:tblPr/>
      <w:tcPr>
        <w:tcBorders>
          <w:top w:val="single" w:sz="8" w:space="0" w:color="CEC5BA" w:themeColor="accent4"/>
          <w:bottom w:val="single" w:sz="8" w:space="0" w:color="CEC5BA" w:themeColor="accent4"/>
        </w:tcBorders>
      </w:tcPr>
    </w:tblStylePr>
    <w:tblStylePr w:type="band1Vert">
      <w:tblPr/>
      <w:tcPr>
        <w:shd w:val="clear" w:color="auto" w:fill="F2F0ED" w:themeFill="accent4" w:themeFillTint="3F"/>
      </w:tcPr>
    </w:tblStylePr>
    <w:tblStylePr w:type="band1Horz">
      <w:tblPr/>
      <w:tcPr>
        <w:shd w:val="clear" w:color="auto" w:fill="F2F0ED" w:themeFill="accent4" w:themeFillTint="3F"/>
      </w:tcPr>
    </w:tblStylePr>
  </w:style>
  <w:style w:type="table" w:styleId="MediumList1-Accent5">
    <w:name w:val="Medium List 1 Accent 5"/>
    <w:basedOn w:val="TableNormal"/>
    <w:uiPriority w:val="65"/>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top w:val="single" w:sz="8" w:space="0" w:color="057995" w:themeColor="accent5"/>
        <w:bottom w:val="single" w:sz="8" w:space="0" w:color="057995" w:themeColor="accent5"/>
      </w:tblBorders>
    </w:tblPr>
    <w:tblStylePr w:type="firstRow">
      <w:rPr>
        <w:rFonts w:asciiTheme="majorHAnsi" w:eastAsiaTheme="majorEastAsia" w:hAnsiTheme="majorHAnsi" w:cstheme="majorBidi"/>
      </w:rPr>
      <w:tblPr/>
      <w:tcPr>
        <w:tcBorders>
          <w:top w:val="nil"/>
          <w:bottom w:val="single" w:sz="8" w:space="0" w:color="057995" w:themeColor="accent5"/>
        </w:tcBorders>
      </w:tcPr>
    </w:tblStylePr>
    <w:tblStylePr w:type="lastRow">
      <w:rPr>
        <w:b/>
        <w:bCs/>
        <w:color w:val="082F4C" w:themeColor="text2"/>
      </w:rPr>
      <w:tblPr/>
      <w:tcPr>
        <w:tcBorders>
          <w:top w:val="single" w:sz="8" w:space="0" w:color="057995" w:themeColor="accent5"/>
          <w:bottom w:val="single" w:sz="8" w:space="0" w:color="057995" w:themeColor="accent5"/>
        </w:tcBorders>
      </w:tcPr>
    </w:tblStylePr>
    <w:tblStylePr w:type="firstCol">
      <w:rPr>
        <w:b/>
        <w:bCs/>
      </w:rPr>
    </w:tblStylePr>
    <w:tblStylePr w:type="lastCol">
      <w:rPr>
        <w:b/>
        <w:bCs/>
      </w:rPr>
      <w:tblPr/>
      <w:tcPr>
        <w:tcBorders>
          <w:top w:val="single" w:sz="8" w:space="0" w:color="057995" w:themeColor="accent5"/>
          <w:bottom w:val="single" w:sz="8" w:space="0" w:color="057995" w:themeColor="accent5"/>
        </w:tcBorders>
      </w:tcPr>
    </w:tblStylePr>
    <w:tblStylePr w:type="band1Vert">
      <w:tblPr/>
      <w:tcPr>
        <w:shd w:val="clear" w:color="auto" w:fill="A9ECFC" w:themeFill="accent5" w:themeFillTint="3F"/>
      </w:tcPr>
    </w:tblStylePr>
    <w:tblStylePr w:type="band1Horz">
      <w:tblPr/>
      <w:tcPr>
        <w:shd w:val="clear" w:color="auto" w:fill="A9ECFC" w:themeFill="accent5" w:themeFillTint="3F"/>
      </w:tcPr>
    </w:tblStylePr>
  </w:style>
  <w:style w:type="table" w:styleId="MediumList1-Accent6">
    <w:name w:val="Medium List 1 Accent 6"/>
    <w:basedOn w:val="TableNormal"/>
    <w:uiPriority w:val="65"/>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top w:val="single" w:sz="8" w:space="0" w:color="082F4C" w:themeColor="accent6"/>
        <w:bottom w:val="single" w:sz="8" w:space="0" w:color="082F4C" w:themeColor="accent6"/>
      </w:tblBorders>
    </w:tblPr>
    <w:tblStylePr w:type="firstRow">
      <w:rPr>
        <w:rFonts w:asciiTheme="majorHAnsi" w:eastAsiaTheme="majorEastAsia" w:hAnsiTheme="majorHAnsi" w:cstheme="majorBidi"/>
      </w:rPr>
      <w:tblPr/>
      <w:tcPr>
        <w:tcBorders>
          <w:top w:val="nil"/>
          <w:bottom w:val="single" w:sz="8" w:space="0" w:color="082F4C" w:themeColor="accent6"/>
        </w:tcBorders>
      </w:tcPr>
    </w:tblStylePr>
    <w:tblStylePr w:type="lastRow">
      <w:rPr>
        <w:b/>
        <w:bCs/>
        <w:color w:val="082F4C" w:themeColor="text2"/>
      </w:rPr>
      <w:tblPr/>
      <w:tcPr>
        <w:tcBorders>
          <w:top w:val="single" w:sz="8" w:space="0" w:color="082F4C" w:themeColor="accent6"/>
          <w:bottom w:val="single" w:sz="8" w:space="0" w:color="082F4C" w:themeColor="accent6"/>
        </w:tcBorders>
      </w:tcPr>
    </w:tblStylePr>
    <w:tblStylePr w:type="firstCol">
      <w:rPr>
        <w:b/>
        <w:bCs/>
      </w:rPr>
    </w:tblStylePr>
    <w:tblStylePr w:type="lastCol">
      <w:rPr>
        <w:b/>
        <w:bCs/>
      </w:rPr>
      <w:tblPr/>
      <w:tcPr>
        <w:tcBorders>
          <w:top w:val="single" w:sz="8" w:space="0" w:color="082F4C" w:themeColor="accent6"/>
          <w:bottom w:val="single" w:sz="8" w:space="0" w:color="082F4C" w:themeColor="accent6"/>
        </w:tcBorders>
      </w:tcPr>
    </w:tblStylePr>
    <w:tblStylePr w:type="band1Vert">
      <w:tblPr/>
      <w:tcPr>
        <w:shd w:val="clear" w:color="auto" w:fill="9FD0F5" w:themeFill="accent6" w:themeFillTint="3F"/>
      </w:tcPr>
    </w:tblStylePr>
    <w:tblStylePr w:type="band1Horz">
      <w:tblPr/>
      <w:tcPr>
        <w:shd w:val="clear" w:color="auto" w:fill="9FD0F5" w:themeFill="accent6" w:themeFillTint="3F"/>
      </w:tcPr>
    </w:tblStylePr>
  </w:style>
  <w:style w:type="table" w:styleId="MediumList2">
    <w:name w:val="Medium List 2"/>
    <w:basedOn w:val="TableNormal"/>
    <w:uiPriority w:val="66"/>
    <w:rsid w:val="00B84943"/>
    <w:pPr>
      <w:spacing w:after="0" w:line="240" w:lineRule="auto"/>
    </w:pPr>
    <w:rPr>
      <w:rFonts w:asciiTheme="majorHAnsi" w:eastAsiaTheme="majorEastAsia" w:hAnsiTheme="majorHAnsi" w:cstheme="majorBidi"/>
      <w:color w:val="057995" w:themeColor="text1"/>
      <w:kern w:val="0"/>
      <w:sz w:val="22"/>
      <w:szCs w:val="22"/>
      <w:lang w:val="en-US"/>
      <w14:ligatures w14:val="none"/>
    </w:rPr>
    <w:tblPr>
      <w:tblStyleRowBandSize w:val="1"/>
      <w:tblStyleColBandSize w:val="1"/>
      <w:tblBorders>
        <w:top w:val="single" w:sz="8" w:space="0" w:color="057995" w:themeColor="text1"/>
        <w:left w:val="single" w:sz="8" w:space="0" w:color="057995" w:themeColor="text1"/>
        <w:bottom w:val="single" w:sz="8" w:space="0" w:color="057995" w:themeColor="text1"/>
        <w:right w:val="single" w:sz="8" w:space="0" w:color="057995" w:themeColor="text1"/>
      </w:tblBorders>
    </w:tblPr>
    <w:tblStylePr w:type="firstRow">
      <w:rPr>
        <w:sz w:val="24"/>
        <w:szCs w:val="24"/>
      </w:rPr>
      <w:tblPr/>
      <w:tcPr>
        <w:tcBorders>
          <w:top w:val="nil"/>
          <w:left w:val="nil"/>
          <w:bottom w:val="single" w:sz="24" w:space="0" w:color="057995" w:themeColor="text1"/>
          <w:right w:val="nil"/>
          <w:insideH w:val="nil"/>
          <w:insideV w:val="nil"/>
        </w:tcBorders>
        <w:shd w:val="clear" w:color="auto" w:fill="FFFEFF" w:themeFill="background1"/>
      </w:tcPr>
    </w:tblStylePr>
    <w:tblStylePr w:type="lastRow">
      <w:tblPr/>
      <w:tcPr>
        <w:tcBorders>
          <w:top w:val="single" w:sz="8" w:space="0" w:color="057995" w:themeColor="text1"/>
          <w:left w:val="nil"/>
          <w:bottom w:val="nil"/>
          <w:right w:val="nil"/>
          <w:insideH w:val="nil"/>
          <w:insideV w:val="nil"/>
        </w:tcBorders>
        <w:shd w:val="clear" w:color="auto" w:fill="FFFEFF" w:themeFill="background1"/>
      </w:tcPr>
    </w:tblStylePr>
    <w:tblStylePr w:type="firstCol">
      <w:tblPr/>
      <w:tcPr>
        <w:tcBorders>
          <w:top w:val="nil"/>
          <w:left w:val="nil"/>
          <w:bottom w:val="nil"/>
          <w:right w:val="single" w:sz="8" w:space="0" w:color="057995" w:themeColor="text1"/>
          <w:insideH w:val="nil"/>
          <w:insideV w:val="nil"/>
        </w:tcBorders>
        <w:shd w:val="clear" w:color="auto" w:fill="FFFEFF" w:themeFill="background1"/>
      </w:tcPr>
    </w:tblStylePr>
    <w:tblStylePr w:type="lastCol">
      <w:tblPr/>
      <w:tcPr>
        <w:tcBorders>
          <w:top w:val="nil"/>
          <w:left w:val="single" w:sz="8" w:space="0" w:color="057995" w:themeColor="text1"/>
          <w:bottom w:val="nil"/>
          <w:right w:val="nil"/>
          <w:insideH w:val="nil"/>
          <w:insideV w:val="nil"/>
        </w:tcBorders>
        <w:shd w:val="clear" w:color="auto" w:fill="FFFEFF" w:themeFill="background1"/>
      </w:tcPr>
    </w:tblStylePr>
    <w:tblStylePr w:type="band1Vert">
      <w:tblPr/>
      <w:tcPr>
        <w:tcBorders>
          <w:left w:val="nil"/>
          <w:right w:val="nil"/>
          <w:insideH w:val="nil"/>
          <w:insideV w:val="nil"/>
        </w:tcBorders>
        <w:shd w:val="clear" w:color="auto" w:fill="A9ECFC" w:themeFill="text1" w:themeFillTint="3F"/>
      </w:tcPr>
    </w:tblStylePr>
    <w:tblStylePr w:type="band1Horz">
      <w:tblPr/>
      <w:tcPr>
        <w:tcBorders>
          <w:top w:val="nil"/>
          <w:bottom w:val="nil"/>
          <w:insideH w:val="nil"/>
          <w:insideV w:val="nil"/>
        </w:tcBorders>
        <w:shd w:val="clear" w:color="auto" w:fill="A9ECFC" w:themeFill="text1" w:themeFillTint="3F"/>
      </w:tcPr>
    </w:tblStylePr>
    <w:tblStylePr w:type="nwCell">
      <w:tblPr/>
      <w:tcPr>
        <w:shd w:val="clear" w:color="auto" w:fill="FFFEFF" w:themeFill="background1"/>
      </w:tcPr>
    </w:tblStylePr>
    <w:tblStylePr w:type="swCell">
      <w:tblPr/>
      <w:tcPr>
        <w:tcBorders>
          <w:top w:val="nil"/>
        </w:tcBorders>
      </w:tcPr>
    </w:tblStylePr>
  </w:style>
  <w:style w:type="table" w:styleId="MediumList2-Accent1">
    <w:name w:val="Medium List 2 Accent 1"/>
    <w:basedOn w:val="TableNormal"/>
    <w:uiPriority w:val="66"/>
    <w:rsid w:val="00B84943"/>
    <w:pPr>
      <w:spacing w:after="0" w:line="240" w:lineRule="auto"/>
    </w:pPr>
    <w:rPr>
      <w:rFonts w:asciiTheme="majorHAnsi" w:eastAsiaTheme="majorEastAsia" w:hAnsiTheme="majorHAnsi" w:cstheme="majorBidi"/>
      <w:color w:val="057995" w:themeColor="text1"/>
      <w:kern w:val="0"/>
      <w:sz w:val="22"/>
      <w:szCs w:val="22"/>
      <w:lang w:val="en-US"/>
      <w14:ligatures w14:val="none"/>
    </w:rPr>
    <w:tblPr>
      <w:tblStyleRowBandSize w:val="1"/>
      <w:tblStyleColBandSize w:val="1"/>
      <w:tblBorders>
        <w:top w:val="single" w:sz="8" w:space="0" w:color="057995" w:themeColor="accent1"/>
        <w:left w:val="single" w:sz="8" w:space="0" w:color="057995" w:themeColor="accent1"/>
        <w:bottom w:val="single" w:sz="8" w:space="0" w:color="057995" w:themeColor="accent1"/>
        <w:right w:val="single" w:sz="8" w:space="0" w:color="057995" w:themeColor="accent1"/>
      </w:tblBorders>
    </w:tblPr>
    <w:tblStylePr w:type="firstRow">
      <w:rPr>
        <w:sz w:val="24"/>
        <w:szCs w:val="24"/>
      </w:rPr>
      <w:tblPr/>
      <w:tcPr>
        <w:tcBorders>
          <w:top w:val="nil"/>
          <w:left w:val="nil"/>
          <w:bottom w:val="single" w:sz="24" w:space="0" w:color="057995" w:themeColor="accent1"/>
          <w:right w:val="nil"/>
          <w:insideH w:val="nil"/>
          <w:insideV w:val="nil"/>
        </w:tcBorders>
        <w:shd w:val="clear" w:color="auto" w:fill="FFFEFF" w:themeFill="background1"/>
      </w:tcPr>
    </w:tblStylePr>
    <w:tblStylePr w:type="lastRow">
      <w:tblPr/>
      <w:tcPr>
        <w:tcBorders>
          <w:top w:val="single" w:sz="8" w:space="0" w:color="057995" w:themeColor="accent1"/>
          <w:left w:val="nil"/>
          <w:bottom w:val="nil"/>
          <w:right w:val="nil"/>
          <w:insideH w:val="nil"/>
          <w:insideV w:val="nil"/>
        </w:tcBorders>
        <w:shd w:val="clear" w:color="auto" w:fill="FFFEFF" w:themeFill="background1"/>
      </w:tcPr>
    </w:tblStylePr>
    <w:tblStylePr w:type="firstCol">
      <w:tblPr/>
      <w:tcPr>
        <w:tcBorders>
          <w:top w:val="nil"/>
          <w:left w:val="nil"/>
          <w:bottom w:val="nil"/>
          <w:right w:val="single" w:sz="8" w:space="0" w:color="057995" w:themeColor="accent1"/>
          <w:insideH w:val="nil"/>
          <w:insideV w:val="nil"/>
        </w:tcBorders>
        <w:shd w:val="clear" w:color="auto" w:fill="FFFEFF" w:themeFill="background1"/>
      </w:tcPr>
    </w:tblStylePr>
    <w:tblStylePr w:type="lastCol">
      <w:tblPr/>
      <w:tcPr>
        <w:tcBorders>
          <w:top w:val="nil"/>
          <w:left w:val="single" w:sz="8" w:space="0" w:color="057995" w:themeColor="accent1"/>
          <w:bottom w:val="nil"/>
          <w:right w:val="nil"/>
          <w:insideH w:val="nil"/>
          <w:insideV w:val="nil"/>
        </w:tcBorders>
        <w:shd w:val="clear" w:color="auto" w:fill="FFFEFF" w:themeFill="background1"/>
      </w:tcPr>
    </w:tblStylePr>
    <w:tblStylePr w:type="band1Vert">
      <w:tblPr/>
      <w:tcPr>
        <w:tcBorders>
          <w:left w:val="nil"/>
          <w:right w:val="nil"/>
          <w:insideH w:val="nil"/>
          <w:insideV w:val="nil"/>
        </w:tcBorders>
        <w:shd w:val="clear" w:color="auto" w:fill="A9ECFC" w:themeFill="accent1" w:themeFillTint="3F"/>
      </w:tcPr>
    </w:tblStylePr>
    <w:tblStylePr w:type="band1Horz">
      <w:tblPr/>
      <w:tcPr>
        <w:tcBorders>
          <w:top w:val="nil"/>
          <w:bottom w:val="nil"/>
          <w:insideH w:val="nil"/>
          <w:insideV w:val="nil"/>
        </w:tcBorders>
        <w:shd w:val="clear" w:color="auto" w:fill="A9ECFC" w:themeFill="accent1" w:themeFillTint="3F"/>
      </w:tcPr>
    </w:tblStylePr>
    <w:tblStylePr w:type="nwCell">
      <w:tblPr/>
      <w:tcPr>
        <w:shd w:val="clear" w:color="auto" w:fill="FFFEFF" w:themeFill="background1"/>
      </w:tcPr>
    </w:tblStylePr>
    <w:tblStylePr w:type="swCell">
      <w:tblPr/>
      <w:tcPr>
        <w:tcBorders>
          <w:top w:val="nil"/>
        </w:tcBorders>
      </w:tcPr>
    </w:tblStylePr>
  </w:style>
  <w:style w:type="table" w:styleId="MediumList2-Accent2">
    <w:name w:val="Medium List 2 Accent 2"/>
    <w:basedOn w:val="TableNormal"/>
    <w:uiPriority w:val="66"/>
    <w:rsid w:val="00B84943"/>
    <w:pPr>
      <w:spacing w:after="0" w:line="240" w:lineRule="auto"/>
    </w:pPr>
    <w:rPr>
      <w:rFonts w:asciiTheme="majorHAnsi" w:eastAsiaTheme="majorEastAsia" w:hAnsiTheme="majorHAnsi" w:cstheme="majorBidi"/>
      <w:color w:val="057995" w:themeColor="text1"/>
      <w:kern w:val="0"/>
      <w:sz w:val="22"/>
      <w:szCs w:val="22"/>
      <w:lang w:val="en-US"/>
      <w14:ligatures w14:val="none"/>
    </w:rPr>
    <w:tblPr>
      <w:tblStyleRowBandSize w:val="1"/>
      <w:tblStyleColBandSize w:val="1"/>
      <w:tblBorders>
        <w:top w:val="single" w:sz="8" w:space="0" w:color="082F4C" w:themeColor="accent2"/>
        <w:left w:val="single" w:sz="8" w:space="0" w:color="082F4C" w:themeColor="accent2"/>
        <w:bottom w:val="single" w:sz="8" w:space="0" w:color="082F4C" w:themeColor="accent2"/>
        <w:right w:val="single" w:sz="8" w:space="0" w:color="082F4C" w:themeColor="accent2"/>
      </w:tblBorders>
    </w:tblPr>
    <w:tblStylePr w:type="firstRow">
      <w:rPr>
        <w:sz w:val="24"/>
        <w:szCs w:val="24"/>
      </w:rPr>
      <w:tblPr/>
      <w:tcPr>
        <w:tcBorders>
          <w:top w:val="nil"/>
          <w:left w:val="nil"/>
          <w:bottom w:val="single" w:sz="24" w:space="0" w:color="082F4C" w:themeColor="accent2"/>
          <w:right w:val="nil"/>
          <w:insideH w:val="nil"/>
          <w:insideV w:val="nil"/>
        </w:tcBorders>
        <w:shd w:val="clear" w:color="auto" w:fill="FFFEFF" w:themeFill="background1"/>
      </w:tcPr>
    </w:tblStylePr>
    <w:tblStylePr w:type="lastRow">
      <w:tblPr/>
      <w:tcPr>
        <w:tcBorders>
          <w:top w:val="single" w:sz="8" w:space="0" w:color="082F4C" w:themeColor="accent2"/>
          <w:left w:val="nil"/>
          <w:bottom w:val="nil"/>
          <w:right w:val="nil"/>
          <w:insideH w:val="nil"/>
          <w:insideV w:val="nil"/>
        </w:tcBorders>
        <w:shd w:val="clear" w:color="auto" w:fill="FFFEFF" w:themeFill="background1"/>
      </w:tcPr>
    </w:tblStylePr>
    <w:tblStylePr w:type="firstCol">
      <w:tblPr/>
      <w:tcPr>
        <w:tcBorders>
          <w:top w:val="nil"/>
          <w:left w:val="nil"/>
          <w:bottom w:val="nil"/>
          <w:right w:val="single" w:sz="8" w:space="0" w:color="082F4C" w:themeColor="accent2"/>
          <w:insideH w:val="nil"/>
          <w:insideV w:val="nil"/>
        </w:tcBorders>
        <w:shd w:val="clear" w:color="auto" w:fill="FFFEFF" w:themeFill="background1"/>
      </w:tcPr>
    </w:tblStylePr>
    <w:tblStylePr w:type="lastCol">
      <w:tblPr/>
      <w:tcPr>
        <w:tcBorders>
          <w:top w:val="nil"/>
          <w:left w:val="single" w:sz="8" w:space="0" w:color="082F4C" w:themeColor="accent2"/>
          <w:bottom w:val="nil"/>
          <w:right w:val="nil"/>
          <w:insideH w:val="nil"/>
          <w:insideV w:val="nil"/>
        </w:tcBorders>
        <w:shd w:val="clear" w:color="auto" w:fill="FFFEFF" w:themeFill="background1"/>
      </w:tcPr>
    </w:tblStylePr>
    <w:tblStylePr w:type="band1Vert">
      <w:tblPr/>
      <w:tcPr>
        <w:tcBorders>
          <w:left w:val="nil"/>
          <w:right w:val="nil"/>
          <w:insideH w:val="nil"/>
          <w:insideV w:val="nil"/>
        </w:tcBorders>
        <w:shd w:val="clear" w:color="auto" w:fill="9FD0F5" w:themeFill="accent2" w:themeFillTint="3F"/>
      </w:tcPr>
    </w:tblStylePr>
    <w:tblStylePr w:type="band1Horz">
      <w:tblPr/>
      <w:tcPr>
        <w:tcBorders>
          <w:top w:val="nil"/>
          <w:bottom w:val="nil"/>
          <w:insideH w:val="nil"/>
          <w:insideV w:val="nil"/>
        </w:tcBorders>
        <w:shd w:val="clear" w:color="auto" w:fill="9FD0F5" w:themeFill="accent2" w:themeFillTint="3F"/>
      </w:tcPr>
    </w:tblStylePr>
    <w:tblStylePr w:type="nwCell">
      <w:tblPr/>
      <w:tcPr>
        <w:shd w:val="clear" w:color="auto" w:fill="FFFEFF" w:themeFill="background1"/>
      </w:tcPr>
    </w:tblStylePr>
    <w:tblStylePr w:type="swCell">
      <w:tblPr/>
      <w:tcPr>
        <w:tcBorders>
          <w:top w:val="nil"/>
        </w:tcBorders>
      </w:tcPr>
    </w:tblStylePr>
  </w:style>
  <w:style w:type="table" w:styleId="MediumList2-Accent3">
    <w:name w:val="Medium List 2 Accent 3"/>
    <w:basedOn w:val="TableNormal"/>
    <w:uiPriority w:val="66"/>
    <w:rsid w:val="00B84943"/>
    <w:pPr>
      <w:spacing w:after="0" w:line="240" w:lineRule="auto"/>
    </w:pPr>
    <w:rPr>
      <w:rFonts w:asciiTheme="majorHAnsi" w:eastAsiaTheme="majorEastAsia" w:hAnsiTheme="majorHAnsi" w:cstheme="majorBidi"/>
      <w:color w:val="057995" w:themeColor="text1"/>
      <w:kern w:val="0"/>
      <w:sz w:val="22"/>
      <w:szCs w:val="22"/>
      <w:lang w:val="en-US"/>
      <w14:ligatures w14:val="none"/>
    </w:rPr>
    <w:tblPr>
      <w:tblStyleRowBandSize w:val="1"/>
      <w:tblStyleColBandSize w:val="1"/>
      <w:tblBorders>
        <w:top w:val="single" w:sz="8" w:space="0" w:color="A31D49" w:themeColor="accent3"/>
        <w:left w:val="single" w:sz="8" w:space="0" w:color="A31D49" w:themeColor="accent3"/>
        <w:bottom w:val="single" w:sz="8" w:space="0" w:color="A31D49" w:themeColor="accent3"/>
        <w:right w:val="single" w:sz="8" w:space="0" w:color="A31D49" w:themeColor="accent3"/>
      </w:tblBorders>
    </w:tblPr>
    <w:tblStylePr w:type="firstRow">
      <w:rPr>
        <w:sz w:val="24"/>
        <w:szCs w:val="24"/>
      </w:rPr>
      <w:tblPr/>
      <w:tcPr>
        <w:tcBorders>
          <w:top w:val="nil"/>
          <w:left w:val="nil"/>
          <w:bottom w:val="single" w:sz="24" w:space="0" w:color="A31D49" w:themeColor="accent3"/>
          <w:right w:val="nil"/>
          <w:insideH w:val="nil"/>
          <w:insideV w:val="nil"/>
        </w:tcBorders>
        <w:shd w:val="clear" w:color="auto" w:fill="FFFEFF" w:themeFill="background1"/>
      </w:tcPr>
    </w:tblStylePr>
    <w:tblStylePr w:type="lastRow">
      <w:tblPr/>
      <w:tcPr>
        <w:tcBorders>
          <w:top w:val="single" w:sz="8" w:space="0" w:color="A31D49" w:themeColor="accent3"/>
          <w:left w:val="nil"/>
          <w:bottom w:val="nil"/>
          <w:right w:val="nil"/>
          <w:insideH w:val="nil"/>
          <w:insideV w:val="nil"/>
        </w:tcBorders>
        <w:shd w:val="clear" w:color="auto" w:fill="FFFEFF" w:themeFill="background1"/>
      </w:tcPr>
    </w:tblStylePr>
    <w:tblStylePr w:type="firstCol">
      <w:tblPr/>
      <w:tcPr>
        <w:tcBorders>
          <w:top w:val="nil"/>
          <w:left w:val="nil"/>
          <w:bottom w:val="nil"/>
          <w:right w:val="single" w:sz="8" w:space="0" w:color="A31D49" w:themeColor="accent3"/>
          <w:insideH w:val="nil"/>
          <w:insideV w:val="nil"/>
        </w:tcBorders>
        <w:shd w:val="clear" w:color="auto" w:fill="FFFEFF" w:themeFill="background1"/>
      </w:tcPr>
    </w:tblStylePr>
    <w:tblStylePr w:type="lastCol">
      <w:tblPr/>
      <w:tcPr>
        <w:tcBorders>
          <w:top w:val="nil"/>
          <w:left w:val="single" w:sz="8" w:space="0" w:color="A31D49" w:themeColor="accent3"/>
          <w:bottom w:val="nil"/>
          <w:right w:val="nil"/>
          <w:insideH w:val="nil"/>
          <w:insideV w:val="nil"/>
        </w:tcBorders>
        <w:shd w:val="clear" w:color="auto" w:fill="FFFEFF" w:themeFill="background1"/>
      </w:tcPr>
    </w:tblStylePr>
    <w:tblStylePr w:type="band1Vert">
      <w:tblPr/>
      <w:tcPr>
        <w:tcBorders>
          <w:left w:val="nil"/>
          <w:right w:val="nil"/>
          <w:insideH w:val="nil"/>
          <w:insideV w:val="nil"/>
        </w:tcBorders>
        <w:shd w:val="clear" w:color="auto" w:fill="F3BCCE" w:themeFill="accent3" w:themeFillTint="3F"/>
      </w:tcPr>
    </w:tblStylePr>
    <w:tblStylePr w:type="band1Horz">
      <w:tblPr/>
      <w:tcPr>
        <w:tcBorders>
          <w:top w:val="nil"/>
          <w:bottom w:val="nil"/>
          <w:insideH w:val="nil"/>
          <w:insideV w:val="nil"/>
        </w:tcBorders>
        <w:shd w:val="clear" w:color="auto" w:fill="F3BCCE" w:themeFill="accent3" w:themeFillTint="3F"/>
      </w:tcPr>
    </w:tblStylePr>
    <w:tblStylePr w:type="nwCell">
      <w:tblPr/>
      <w:tcPr>
        <w:shd w:val="clear" w:color="auto" w:fill="FFFEFF" w:themeFill="background1"/>
      </w:tcPr>
    </w:tblStylePr>
    <w:tblStylePr w:type="swCell">
      <w:tblPr/>
      <w:tcPr>
        <w:tcBorders>
          <w:top w:val="nil"/>
        </w:tcBorders>
      </w:tcPr>
    </w:tblStylePr>
  </w:style>
  <w:style w:type="table" w:styleId="MediumList2-Accent4">
    <w:name w:val="Medium List 2 Accent 4"/>
    <w:basedOn w:val="TableNormal"/>
    <w:uiPriority w:val="66"/>
    <w:rsid w:val="00B84943"/>
    <w:pPr>
      <w:spacing w:after="0" w:line="240" w:lineRule="auto"/>
    </w:pPr>
    <w:rPr>
      <w:rFonts w:asciiTheme="majorHAnsi" w:eastAsiaTheme="majorEastAsia" w:hAnsiTheme="majorHAnsi" w:cstheme="majorBidi"/>
      <w:color w:val="057995" w:themeColor="text1"/>
      <w:kern w:val="0"/>
      <w:sz w:val="22"/>
      <w:szCs w:val="22"/>
      <w:lang w:val="en-US"/>
      <w14:ligatures w14:val="none"/>
    </w:rPr>
    <w:tblPr>
      <w:tblStyleRowBandSize w:val="1"/>
      <w:tblStyleColBandSize w:val="1"/>
      <w:tblBorders>
        <w:top w:val="single" w:sz="8" w:space="0" w:color="CEC5BA" w:themeColor="accent4"/>
        <w:left w:val="single" w:sz="8" w:space="0" w:color="CEC5BA" w:themeColor="accent4"/>
        <w:bottom w:val="single" w:sz="8" w:space="0" w:color="CEC5BA" w:themeColor="accent4"/>
        <w:right w:val="single" w:sz="8" w:space="0" w:color="CEC5BA" w:themeColor="accent4"/>
      </w:tblBorders>
    </w:tblPr>
    <w:tblStylePr w:type="firstRow">
      <w:rPr>
        <w:sz w:val="24"/>
        <w:szCs w:val="24"/>
      </w:rPr>
      <w:tblPr/>
      <w:tcPr>
        <w:tcBorders>
          <w:top w:val="nil"/>
          <w:left w:val="nil"/>
          <w:bottom w:val="single" w:sz="24" w:space="0" w:color="CEC5BA" w:themeColor="accent4"/>
          <w:right w:val="nil"/>
          <w:insideH w:val="nil"/>
          <w:insideV w:val="nil"/>
        </w:tcBorders>
        <w:shd w:val="clear" w:color="auto" w:fill="FFFEFF" w:themeFill="background1"/>
      </w:tcPr>
    </w:tblStylePr>
    <w:tblStylePr w:type="lastRow">
      <w:tblPr/>
      <w:tcPr>
        <w:tcBorders>
          <w:top w:val="single" w:sz="8" w:space="0" w:color="CEC5BA" w:themeColor="accent4"/>
          <w:left w:val="nil"/>
          <w:bottom w:val="nil"/>
          <w:right w:val="nil"/>
          <w:insideH w:val="nil"/>
          <w:insideV w:val="nil"/>
        </w:tcBorders>
        <w:shd w:val="clear" w:color="auto" w:fill="FFFEFF" w:themeFill="background1"/>
      </w:tcPr>
    </w:tblStylePr>
    <w:tblStylePr w:type="firstCol">
      <w:tblPr/>
      <w:tcPr>
        <w:tcBorders>
          <w:top w:val="nil"/>
          <w:left w:val="nil"/>
          <w:bottom w:val="nil"/>
          <w:right w:val="single" w:sz="8" w:space="0" w:color="CEC5BA" w:themeColor="accent4"/>
          <w:insideH w:val="nil"/>
          <w:insideV w:val="nil"/>
        </w:tcBorders>
        <w:shd w:val="clear" w:color="auto" w:fill="FFFEFF" w:themeFill="background1"/>
      </w:tcPr>
    </w:tblStylePr>
    <w:tblStylePr w:type="lastCol">
      <w:tblPr/>
      <w:tcPr>
        <w:tcBorders>
          <w:top w:val="nil"/>
          <w:left w:val="single" w:sz="8" w:space="0" w:color="CEC5BA" w:themeColor="accent4"/>
          <w:bottom w:val="nil"/>
          <w:right w:val="nil"/>
          <w:insideH w:val="nil"/>
          <w:insideV w:val="nil"/>
        </w:tcBorders>
        <w:shd w:val="clear" w:color="auto" w:fill="FFFEFF" w:themeFill="background1"/>
      </w:tcPr>
    </w:tblStylePr>
    <w:tblStylePr w:type="band1Vert">
      <w:tblPr/>
      <w:tcPr>
        <w:tcBorders>
          <w:left w:val="nil"/>
          <w:right w:val="nil"/>
          <w:insideH w:val="nil"/>
          <w:insideV w:val="nil"/>
        </w:tcBorders>
        <w:shd w:val="clear" w:color="auto" w:fill="F2F0ED" w:themeFill="accent4" w:themeFillTint="3F"/>
      </w:tcPr>
    </w:tblStylePr>
    <w:tblStylePr w:type="band1Horz">
      <w:tblPr/>
      <w:tcPr>
        <w:tcBorders>
          <w:top w:val="nil"/>
          <w:bottom w:val="nil"/>
          <w:insideH w:val="nil"/>
          <w:insideV w:val="nil"/>
        </w:tcBorders>
        <w:shd w:val="clear" w:color="auto" w:fill="F2F0ED" w:themeFill="accent4" w:themeFillTint="3F"/>
      </w:tcPr>
    </w:tblStylePr>
    <w:tblStylePr w:type="nwCell">
      <w:tblPr/>
      <w:tcPr>
        <w:shd w:val="clear" w:color="auto" w:fill="FFFEFF" w:themeFill="background1"/>
      </w:tcPr>
    </w:tblStylePr>
    <w:tblStylePr w:type="swCell">
      <w:tblPr/>
      <w:tcPr>
        <w:tcBorders>
          <w:top w:val="nil"/>
        </w:tcBorders>
      </w:tcPr>
    </w:tblStylePr>
  </w:style>
  <w:style w:type="table" w:styleId="MediumList2-Accent5">
    <w:name w:val="Medium List 2 Accent 5"/>
    <w:basedOn w:val="TableNormal"/>
    <w:uiPriority w:val="66"/>
    <w:rsid w:val="00B84943"/>
    <w:pPr>
      <w:spacing w:after="0" w:line="240" w:lineRule="auto"/>
    </w:pPr>
    <w:rPr>
      <w:rFonts w:asciiTheme="majorHAnsi" w:eastAsiaTheme="majorEastAsia" w:hAnsiTheme="majorHAnsi" w:cstheme="majorBidi"/>
      <w:color w:val="057995" w:themeColor="text1"/>
      <w:kern w:val="0"/>
      <w:sz w:val="22"/>
      <w:szCs w:val="22"/>
      <w:lang w:val="en-US"/>
      <w14:ligatures w14:val="none"/>
    </w:rPr>
    <w:tblPr>
      <w:tblStyleRowBandSize w:val="1"/>
      <w:tblStyleColBandSize w:val="1"/>
      <w:tblBorders>
        <w:top w:val="single" w:sz="8" w:space="0" w:color="057995" w:themeColor="accent5"/>
        <w:left w:val="single" w:sz="8" w:space="0" w:color="057995" w:themeColor="accent5"/>
        <w:bottom w:val="single" w:sz="8" w:space="0" w:color="057995" w:themeColor="accent5"/>
        <w:right w:val="single" w:sz="8" w:space="0" w:color="057995" w:themeColor="accent5"/>
      </w:tblBorders>
    </w:tblPr>
    <w:tblStylePr w:type="firstRow">
      <w:rPr>
        <w:sz w:val="24"/>
        <w:szCs w:val="24"/>
      </w:rPr>
      <w:tblPr/>
      <w:tcPr>
        <w:tcBorders>
          <w:top w:val="nil"/>
          <w:left w:val="nil"/>
          <w:bottom w:val="single" w:sz="24" w:space="0" w:color="057995" w:themeColor="accent5"/>
          <w:right w:val="nil"/>
          <w:insideH w:val="nil"/>
          <w:insideV w:val="nil"/>
        </w:tcBorders>
        <w:shd w:val="clear" w:color="auto" w:fill="FFFEFF" w:themeFill="background1"/>
      </w:tcPr>
    </w:tblStylePr>
    <w:tblStylePr w:type="lastRow">
      <w:tblPr/>
      <w:tcPr>
        <w:tcBorders>
          <w:top w:val="single" w:sz="8" w:space="0" w:color="057995" w:themeColor="accent5"/>
          <w:left w:val="nil"/>
          <w:bottom w:val="nil"/>
          <w:right w:val="nil"/>
          <w:insideH w:val="nil"/>
          <w:insideV w:val="nil"/>
        </w:tcBorders>
        <w:shd w:val="clear" w:color="auto" w:fill="FFFEFF" w:themeFill="background1"/>
      </w:tcPr>
    </w:tblStylePr>
    <w:tblStylePr w:type="firstCol">
      <w:tblPr/>
      <w:tcPr>
        <w:tcBorders>
          <w:top w:val="nil"/>
          <w:left w:val="nil"/>
          <w:bottom w:val="nil"/>
          <w:right w:val="single" w:sz="8" w:space="0" w:color="057995" w:themeColor="accent5"/>
          <w:insideH w:val="nil"/>
          <w:insideV w:val="nil"/>
        </w:tcBorders>
        <w:shd w:val="clear" w:color="auto" w:fill="FFFEFF" w:themeFill="background1"/>
      </w:tcPr>
    </w:tblStylePr>
    <w:tblStylePr w:type="lastCol">
      <w:tblPr/>
      <w:tcPr>
        <w:tcBorders>
          <w:top w:val="nil"/>
          <w:left w:val="single" w:sz="8" w:space="0" w:color="057995" w:themeColor="accent5"/>
          <w:bottom w:val="nil"/>
          <w:right w:val="nil"/>
          <w:insideH w:val="nil"/>
          <w:insideV w:val="nil"/>
        </w:tcBorders>
        <w:shd w:val="clear" w:color="auto" w:fill="FFFEFF" w:themeFill="background1"/>
      </w:tcPr>
    </w:tblStylePr>
    <w:tblStylePr w:type="band1Vert">
      <w:tblPr/>
      <w:tcPr>
        <w:tcBorders>
          <w:left w:val="nil"/>
          <w:right w:val="nil"/>
          <w:insideH w:val="nil"/>
          <w:insideV w:val="nil"/>
        </w:tcBorders>
        <w:shd w:val="clear" w:color="auto" w:fill="A9ECFC" w:themeFill="accent5" w:themeFillTint="3F"/>
      </w:tcPr>
    </w:tblStylePr>
    <w:tblStylePr w:type="band1Horz">
      <w:tblPr/>
      <w:tcPr>
        <w:tcBorders>
          <w:top w:val="nil"/>
          <w:bottom w:val="nil"/>
          <w:insideH w:val="nil"/>
          <w:insideV w:val="nil"/>
        </w:tcBorders>
        <w:shd w:val="clear" w:color="auto" w:fill="A9ECFC" w:themeFill="accent5" w:themeFillTint="3F"/>
      </w:tcPr>
    </w:tblStylePr>
    <w:tblStylePr w:type="nwCell">
      <w:tblPr/>
      <w:tcPr>
        <w:shd w:val="clear" w:color="auto" w:fill="FFFEFF" w:themeFill="background1"/>
      </w:tcPr>
    </w:tblStylePr>
    <w:tblStylePr w:type="swCell">
      <w:tblPr/>
      <w:tcPr>
        <w:tcBorders>
          <w:top w:val="nil"/>
        </w:tcBorders>
      </w:tcPr>
    </w:tblStylePr>
  </w:style>
  <w:style w:type="table" w:styleId="MediumList2-Accent6">
    <w:name w:val="Medium List 2 Accent 6"/>
    <w:basedOn w:val="TableNormal"/>
    <w:uiPriority w:val="66"/>
    <w:rsid w:val="00B84943"/>
    <w:pPr>
      <w:spacing w:after="0" w:line="240" w:lineRule="auto"/>
    </w:pPr>
    <w:rPr>
      <w:rFonts w:asciiTheme="majorHAnsi" w:eastAsiaTheme="majorEastAsia" w:hAnsiTheme="majorHAnsi" w:cstheme="majorBidi"/>
      <w:color w:val="057995" w:themeColor="text1"/>
      <w:kern w:val="0"/>
      <w:sz w:val="22"/>
      <w:szCs w:val="22"/>
      <w:lang w:val="en-US"/>
      <w14:ligatures w14:val="none"/>
    </w:rPr>
    <w:tblPr>
      <w:tblStyleRowBandSize w:val="1"/>
      <w:tblStyleColBandSize w:val="1"/>
      <w:tblBorders>
        <w:top w:val="single" w:sz="8" w:space="0" w:color="082F4C" w:themeColor="accent6"/>
        <w:left w:val="single" w:sz="8" w:space="0" w:color="082F4C" w:themeColor="accent6"/>
        <w:bottom w:val="single" w:sz="8" w:space="0" w:color="082F4C" w:themeColor="accent6"/>
        <w:right w:val="single" w:sz="8" w:space="0" w:color="082F4C" w:themeColor="accent6"/>
      </w:tblBorders>
    </w:tblPr>
    <w:tblStylePr w:type="firstRow">
      <w:rPr>
        <w:sz w:val="24"/>
        <w:szCs w:val="24"/>
      </w:rPr>
      <w:tblPr/>
      <w:tcPr>
        <w:tcBorders>
          <w:top w:val="nil"/>
          <w:left w:val="nil"/>
          <w:bottom w:val="single" w:sz="24" w:space="0" w:color="082F4C" w:themeColor="accent6"/>
          <w:right w:val="nil"/>
          <w:insideH w:val="nil"/>
          <w:insideV w:val="nil"/>
        </w:tcBorders>
        <w:shd w:val="clear" w:color="auto" w:fill="FFFEFF" w:themeFill="background1"/>
      </w:tcPr>
    </w:tblStylePr>
    <w:tblStylePr w:type="lastRow">
      <w:tblPr/>
      <w:tcPr>
        <w:tcBorders>
          <w:top w:val="single" w:sz="8" w:space="0" w:color="082F4C" w:themeColor="accent6"/>
          <w:left w:val="nil"/>
          <w:bottom w:val="nil"/>
          <w:right w:val="nil"/>
          <w:insideH w:val="nil"/>
          <w:insideV w:val="nil"/>
        </w:tcBorders>
        <w:shd w:val="clear" w:color="auto" w:fill="FFFEFF" w:themeFill="background1"/>
      </w:tcPr>
    </w:tblStylePr>
    <w:tblStylePr w:type="firstCol">
      <w:tblPr/>
      <w:tcPr>
        <w:tcBorders>
          <w:top w:val="nil"/>
          <w:left w:val="nil"/>
          <w:bottom w:val="nil"/>
          <w:right w:val="single" w:sz="8" w:space="0" w:color="082F4C" w:themeColor="accent6"/>
          <w:insideH w:val="nil"/>
          <w:insideV w:val="nil"/>
        </w:tcBorders>
        <w:shd w:val="clear" w:color="auto" w:fill="FFFEFF" w:themeFill="background1"/>
      </w:tcPr>
    </w:tblStylePr>
    <w:tblStylePr w:type="lastCol">
      <w:tblPr/>
      <w:tcPr>
        <w:tcBorders>
          <w:top w:val="nil"/>
          <w:left w:val="single" w:sz="8" w:space="0" w:color="082F4C" w:themeColor="accent6"/>
          <w:bottom w:val="nil"/>
          <w:right w:val="nil"/>
          <w:insideH w:val="nil"/>
          <w:insideV w:val="nil"/>
        </w:tcBorders>
        <w:shd w:val="clear" w:color="auto" w:fill="FFFEFF" w:themeFill="background1"/>
      </w:tcPr>
    </w:tblStylePr>
    <w:tblStylePr w:type="band1Vert">
      <w:tblPr/>
      <w:tcPr>
        <w:tcBorders>
          <w:left w:val="nil"/>
          <w:right w:val="nil"/>
          <w:insideH w:val="nil"/>
          <w:insideV w:val="nil"/>
        </w:tcBorders>
        <w:shd w:val="clear" w:color="auto" w:fill="9FD0F5" w:themeFill="accent6" w:themeFillTint="3F"/>
      </w:tcPr>
    </w:tblStylePr>
    <w:tblStylePr w:type="band1Horz">
      <w:tblPr/>
      <w:tcPr>
        <w:tcBorders>
          <w:top w:val="nil"/>
          <w:bottom w:val="nil"/>
          <w:insideH w:val="nil"/>
          <w:insideV w:val="nil"/>
        </w:tcBorders>
        <w:shd w:val="clear" w:color="auto" w:fill="9FD0F5" w:themeFill="accent6" w:themeFillTint="3F"/>
      </w:tcPr>
    </w:tblStylePr>
    <w:tblStylePr w:type="nwCell">
      <w:tblPr/>
      <w:tcPr>
        <w:shd w:val="clear" w:color="auto" w:fill="FFFEFF" w:themeFill="background1"/>
      </w:tcPr>
    </w:tblStylePr>
    <w:tblStylePr w:type="swCell">
      <w:tblPr/>
      <w:tcPr>
        <w:tcBorders>
          <w:top w:val="nil"/>
        </w:tcBorders>
      </w:tcPr>
    </w:tblStylePr>
  </w:style>
  <w:style w:type="table" w:styleId="MediumGrid1">
    <w:name w:val="Medium Grid 1"/>
    <w:basedOn w:val="TableNormal"/>
    <w:uiPriority w:val="67"/>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8BEEB" w:themeColor="text1" w:themeTint="BF"/>
        <w:left w:val="single" w:sz="8" w:space="0" w:color="08BEEB" w:themeColor="text1" w:themeTint="BF"/>
        <w:bottom w:val="single" w:sz="8" w:space="0" w:color="08BEEB" w:themeColor="text1" w:themeTint="BF"/>
        <w:right w:val="single" w:sz="8" w:space="0" w:color="08BEEB" w:themeColor="text1" w:themeTint="BF"/>
        <w:insideH w:val="single" w:sz="8" w:space="0" w:color="08BEEB" w:themeColor="text1" w:themeTint="BF"/>
        <w:insideV w:val="single" w:sz="8" w:space="0" w:color="08BEEB" w:themeColor="text1" w:themeTint="BF"/>
      </w:tblBorders>
    </w:tblPr>
    <w:tcPr>
      <w:shd w:val="clear" w:color="auto" w:fill="A9ECFC" w:themeFill="text1" w:themeFillTint="3F"/>
    </w:tcPr>
    <w:tblStylePr w:type="firstRow">
      <w:rPr>
        <w:b/>
        <w:bCs/>
      </w:rPr>
    </w:tblStylePr>
    <w:tblStylePr w:type="lastRow">
      <w:rPr>
        <w:b/>
        <w:bCs/>
      </w:rPr>
      <w:tblPr/>
      <w:tcPr>
        <w:tcBorders>
          <w:top w:val="single" w:sz="18" w:space="0" w:color="08BEEB" w:themeColor="text1" w:themeTint="BF"/>
        </w:tcBorders>
      </w:tcPr>
    </w:tblStylePr>
    <w:tblStylePr w:type="firstCol">
      <w:rPr>
        <w:b/>
        <w:bCs/>
      </w:rPr>
    </w:tblStylePr>
    <w:tblStylePr w:type="lastCol">
      <w:rPr>
        <w:b/>
        <w:bCs/>
      </w:rPr>
    </w:tblStylePr>
    <w:tblStylePr w:type="band1Vert">
      <w:tblPr/>
      <w:tcPr>
        <w:shd w:val="clear" w:color="auto" w:fill="53D8F9" w:themeFill="text1" w:themeFillTint="7F"/>
      </w:tcPr>
    </w:tblStylePr>
    <w:tblStylePr w:type="band1Horz">
      <w:tblPr/>
      <w:tcPr>
        <w:shd w:val="clear" w:color="auto" w:fill="53D8F9" w:themeFill="text1" w:themeFillTint="7F"/>
      </w:tcPr>
    </w:tblStylePr>
  </w:style>
  <w:style w:type="table" w:styleId="MediumGrid1-Accent1">
    <w:name w:val="Medium Grid 1 Accent 1"/>
    <w:basedOn w:val="TableNormal"/>
    <w:uiPriority w:val="67"/>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8BEEB" w:themeColor="accent1" w:themeTint="BF"/>
        <w:left w:val="single" w:sz="8" w:space="0" w:color="08BEEB" w:themeColor="accent1" w:themeTint="BF"/>
        <w:bottom w:val="single" w:sz="8" w:space="0" w:color="08BEEB" w:themeColor="accent1" w:themeTint="BF"/>
        <w:right w:val="single" w:sz="8" w:space="0" w:color="08BEEB" w:themeColor="accent1" w:themeTint="BF"/>
        <w:insideH w:val="single" w:sz="8" w:space="0" w:color="08BEEB" w:themeColor="accent1" w:themeTint="BF"/>
        <w:insideV w:val="single" w:sz="8" w:space="0" w:color="08BEEB" w:themeColor="accent1" w:themeTint="BF"/>
      </w:tblBorders>
    </w:tblPr>
    <w:tcPr>
      <w:shd w:val="clear" w:color="auto" w:fill="A9ECFC" w:themeFill="accent1" w:themeFillTint="3F"/>
    </w:tcPr>
    <w:tblStylePr w:type="firstRow">
      <w:rPr>
        <w:b/>
        <w:bCs/>
      </w:rPr>
    </w:tblStylePr>
    <w:tblStylePr w:type="lastRow">
      <w:rPr>
        <w:b/>
        <w:bCs/>
      </w:rPr>
      <w:tblPr/>
      <w:tcPr>
        <w:tcBorders>
          <w:top w:val="single" w:sz="18" w:space="0" w:color="08BEEB" w:themeColor="accent1" w:themeTint="BF"/>
        </w:tcBorders>
      </w:tcPr>
    </w:tblStylePr>
    <w:tblStylePr w:type="firstCol">
      <w:rPr>
        <w:b/>
        <w:bCs/>
      </w:rPr>
    </w:tblStylePr>
    <w:tblStylePr w:type="lastCol">
      <w:rPr>
        <w:b/>
        <w:bCs/>
      </w:rPr>
    </w:tblStylePr>
    <w:tblStylePr w:type="band1Vert">
      <w:tblPr/>
      <w:tcPr>
        <w:shd w:val="clear" w:color="auto" w:fill="53D8F9" w:themeFill="accent1" w:themeFillTint="7F"/>
      </w:tcPr>
    </w:tblStylePr>
    <w:tblStylePr w:type="band1Horz">
      <w:tblPr/>
      <w:tcPr>
        <w:shd w:val="clear" w:color="auto" w:fill="53D8F9" w:themeFill="accent1" w:themeFillTint="7F"/>
      </w:tcPr>
    </w:tblStylePr>
  </w:style>
  <w:style w:type="table" w:styleId="MediumGrid1-Accent2">
    <w:name w:val="Medium Grid 1 Accent 2"/>
    <w:basedOn w:val="TableNormal"/>
    <w:uiPriority w:val="67"/>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26AAC" w:themeColor="accent2" w:themeTint="BF"/>
        <w:left w:val="single" w:sz="8" w:space="0" w:color="126AAC" w:themeColor="accent2" w:themeTint="BF"/>
        <w:bottom w:val="single" w:sz="8" w:space="0" w:color="126AAC" w:themeColor="accent2" w:themeTint="BF"/>
        <w:right w:val="single" w:sz="8" w:space="0" w:color="126AAC" w:themeColor="accent2" w:themeTint="BF"/>
        <w:insideH w:val="single" w:sz="8" w:space="0" w:color="126AAC" w:themeColor="accent2" w:themeTint="BF"/>
        <w:insideV w:val="single" w:sz="8" w:space="0" w:color="126AAC" w:themeColor="accent2" w:themeTint="BF"/>
      </w:tblBorders>
    </w:tblPr>
    <w:tcPr>
      <w:shd w:val="clear" w:color="auto" w:fill="9FD0F5" w:themeFill="accent2" w:themeFillTint="3F"/>
    </w:tcPr>
    <w:tblStylePr w:type="firstRow">
      <w:rPr>
        <w:b/>
        <w:bCs/>
      </w:rPr>
    </w:tblStylePr>
    <w:tblStylePr w:type="lastRow">
      <w:rPr>
        <w:b/>
        <w:bCs/>
      </w:rPr>
      <w:tblPr/>
      <w:tcPr>
        <w:tcBorders>
          <w:top w:val="single" w:sz="18" w:space="0" w:color="126AAC" w:themeColor="accent2" w:themeTint="BF"/>
        </w:tcBorders>
      </w:tcPr>
    </w:tblStylePr>
    <w:tblStylePr w:type="firstCol">
      <w:rPr>
        <w:b/>
        <w:bCs/>
      </w:rPr>
    </w:tblStylePr>
    <w:tblStylePr w:type="lastCol">
      <w:rPr>
        <w:b/>
        <w:bCs/>
      </w:rPr>
    </w:tblStylePr>
    <w:tblStylePr w:type="band1Vert">
      <w:tblPr/>
      <w:tcPr>
        <w:shd w:val="clear" w:color="auto" w:fill="3EA1EA" w:themeFill="accent2" w:themeFillTint="7F"/>
      </w:tcPr>
    </w:tblStylePr>
    <w:tblStylePr w:type="band1Horz">
      <w:tblPr/>
      <w:tcPr>
        <w:shd w:val="clear" w:color="auto" w:fill="3EA1EA" w:themeFill="accent2" w:themeFillTint="7F"/>
      </w:tcPr>
    </w:tblStylePr>
  </w:style>
  <w:style w:type="table" w:styleId="MediumGrid1-Accent3">
    <w:name w:val="Medium Grid 1 Accent 3"/>
    <w:basedOn w:val="TableNormal"/>
    <w:uiPriority w:val="67"/>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DB346A" w:themeColor="accent3" w:themeTint="BF"/>
        <w:left w:val="single" w:sz="8" w:space="0" w:color="DB346A" w:themeColor="accent3" w:themeTint="BF"/>
        <w:bottom w:val="single" w:sz="8" w:space="0" w:color="DB346A" w:themeColor="accent3" w:themeTint="BF"/>
        <w:right w:val="single" w:sz="8" w:space="0" w:color="DB346A" w:themeColor="accent3" w:themeTint="BF"/>
        <w:insideH w:val="single" w:sz="8" w:space="0" w:color="DB346A" w:themeColor="accent3" w:themeTint="BF"/>
        <w:insideV w:val="single" w:sz="8" w:space="0" w:color="DB346A" w:themeColor="accent3" w:themeTint="BF"/>
      </w:tblBorders>
    </w:tblPr>
    <w:tcPr>
      <w:shd w:val="clear" w:color="auto" w:fill="F3BCCE" w:themeFill="accent3" w:themeFillTint="3F"/>
    </w:tcPr>
    <w:tblStylePr w:type="firstRow">
      <w:rPr>
        <w:b/>
        <w:bCs/>
      </w:rPr>
    </w:tblStylePr>
    <w:tblStylePr w:type="lastRow">
      <w:rPr>
        <w:b/>
        <w:bCs/>
      </w:rPr>
      <w:tblPr/>
      <w:tcPr>
        <w:tcBorders>
          <w:top w:val="single" w:sz="18" w:space="0" w:color="DB346A" w:themeColor="accent3" w:themeTint="BF"/>
        </w:tcBorders>
      </w:tcPr>
    </w:tblStylePr>
    <w:tblStylePr w:type="firstCol">
      <w:rPr>
        <w:b/>
        <w:bCs/>
      </w:rPr>
    </w:tblStylePr>
    <w:tblStylePr w:type="lastCol">
      <w:rPr>
        <w:b/>
        <w:bCs/>
      </w:rPr>
    </w:tblStylePr>
    <w:tblStylePr w:type="band1Vert">
      <w:tblPr/>
      <w:tcPr>
        <w:shd w:val="clear" w:color="auto" w:fill="E7789C" w:themeFill="accent3" w:themeFillTint="7F"/>
      </w:tcPr>
    </w:tblStylePr>
    <w:tblStylePr w:type="band1Horz">
      <w:tblPr/>
      <w:tcPr>
        <w:shd w:val="clear" w:color="auto" w:fill="E7789C" w:themeFill="accent3" w:themeFillTint="7F"/>
      </w:tcPr>
    </w:tblStylePr>
  </w:style>
  <w:style w:type="table" w:styleId="MediumGrid1-Accent4">
    <w:name w:val="Medium Grid 1 Accent 4"/>
    <w:basedOn w:val="TableNormal"/>
    <w:uiPriority w:val="67"/>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DAD3CB" w:themeColor="accent4" w:themeTint="BF"/>
        <w:left w:val="single" w:sz="8" w:space="0" w:color="DAD3CB" w:themeColor="accent4" w:themeTint="BF"/>
        <w:bottom w:val="single" w:sz="8" w:space="0" w:color="DAD3CB" w:themeColor="accent4" w:themeTint="BF"/>
        <w:right w:val="single" w:sz="8" w:space="0" w:color="DAD3CB" w:themeColor="accent4" w:themeTint="BF"/>
        <w:insideH w:val="single" w:sz="8" w:space="0" w:color="DAD3CB" w:themeColor="accent4" w:themeTint="BF"/>
        <w:insideV w:val="single" w:sz="8" w:space="0" w:color="DAD3CB" w:themeColor="accent4" w:themeTint="BF"/>
      </w:tblBorders>
    </w:tblPr>
    <w:tcPr>
      <w:shd w:val="clear" w:color="auto" w:fill="F2F0ED" w:themeFill="accent4" w:themeFillTint="3F"/>
    </w:tcPr>
    <w:tblStylePr w:type="firstRow">
      <w:rPr>
        <w:b/>
        <w:bCs/>
      </w:rPr>
    </w:tblStylePr>
    <w:tblStylePr w:type="lastRow">
      <w:rPr>
        <w:b/>
        <w:bCs/>
      </w:rPr>
      <w:tblPr/>
      <w:tcPr>
        <w:tcBorders>
          <w:top w:val="single" w:sz="18" w:space="0" w:color="DAD3CB" w:themeColor="accent4" w:themeTint="BF"/>
        </w:tcBorders>
      </w:tcPr>
    </w:tblStylePr>
    <w:tblStylePr w:type="firstCol">
      <w:rPr>
        <w:b/>
        <w:bCs/>
      </w:rPr>
    </w:tblStylePr>
    <w:tblStylePr w:type="lastCol">
      <w:rPr>
        <w:b/>
        <w:bCs/>
      </w:rPr>
    </w:tblStylePr>
    <w:tblStylePr w:type="band1Vert">
      <w:tblPr/>
      <w:tcPr>
        <w:shd w:val="clear" w:color="auto" w:fill="E6E1DC" w:themeFill="accent4" w:themeFillTint="7F"/>
      </w:tcPr>
    </w:tblStylePr>
    <w:tblStylePr w:type="band1Horz">
      <w:tblPr/>
      <w:tcPr>
        <w:shd w:val="clear" w:color="auto" w:fill="E6E1DC" w:themeFill="accent4" w:themeFillTint="7F"/>
      </w:tcPr>
    </w:tblStylePr>
  </w:style>
  <w:style w:type="table" w:styleId="MediumGrid1-Accent5">
    <w:name w:val="Medium Grid 1 Accent 5"/>
    <w:basedOn w:val="TableNormal"/>
    <w:uiPriority w:val="67"/>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8BEEB" w:themeColor="accent5" w:themeTint="BF"/>
        <w:left w:val="single" w:sz="8" w:space="0" w:color="08BEEB" w:themeColor="accent5" w:themeTint="BF"/>
        <w:bottom w:val="single" w:sz="8" w:space="0" w:color="08BEEB" w:themeColor="accent5" w:themeTint="BF"/>
        <w:right w:val="single" w:sz="8" w:space="0" w:color="08BEEB" w:themeColor="accent5" w:themeTint="BF"/>
        <w:insideH w:val="single" w:sz="8" w:space="0" w:color="08BEEB" w:themeColor="accent5" w:themeTint="BF"/>
        <w:insideV w:val="single" w:sz="8" w:space="0" w:color="08BEEB" w:themeColor="accent5" w:themeTint="BF"/>
      </w:tblBorders>
    </w:tblPr>
    <w:tcPr>
      <w:shd w:val="clear" w:color="auto" w:fill="A9ECFC" w:themeFill="accent5" w:themeFillTint="3F"/>
    </w:tcPr>
    <w:tblStylePr w:type="firstRow">
      <w:rPr>
        <w:b/>
        <w:bCs/>
      </w:rPr>
    </w:tblStylePr>
    <w:tblStylePr w:type="lastRow">
      <w:rPr>
        <w:b/>
        <w:bCs/>
      </w:rPr>
      <w:tblPr/>
      <w:tcPr>
        <w:tcBorders>
          <w:top w:val="single" w:sz="18" w:space="0" w:color="08BEEB" w:themeColor="accent5" w:themeTint="BF"/>
        </w:tcBorders>
      </w:tcPr>
    </w:tblStylePr>
    <w:tblStylePr w:type="firstCol">
      <w:rPr>
        <w:b/>
        <w:bCs/>
      </w:rPr>
    </w:tblStylePr>
    <w:tblStylePr w:type="lastCol">
      <w:rPr>
        <w:b/>
        <w:bCs/>
      </w:rPr>
    </w:tblStylePr>
    <w:tblStylePr w:type="band1Vert">
      <w:tblPr/>
      <w:tcPr>
        <w:shd w:val="clear" w:color="auto" w:fill="53D8F9" w:themeFill="accent5" w:themeFillTint="7F"/>
      </w:tcPr>
    </w:tblStylePr>
    <w:tblStylePr w:type="band1Horz">
      <w:tblPr/>
      <w:tcPr>
        <w:shd w:val="clear" w:color="auto" w:fill="53D8F9" w:themeFill="accent5" w:themeFillTint="7F"/>
      </w:tcPr>
    </w:tblStylePr>
  </w:style>
  <w:style w:type="table" w:styleId="MediumGrid1-Accent6">
    <w:name w:val="Medium Grid 1 Accent 6"/>
    <w:basedOn w:val="TableNormal"/>
    <w:uiPriority w:val="67"/>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26AAC" w:themeColor="accent6" w:themeTint="BF"/>
        <w:left w:val="single" w:sz="8" w:space="0" w:color="126AAC" w:themeColor="accent6" w:themeTint="BF"/>
        <w:bottom w:val="single" w:sz="8" w:space="0" w:color="126AAC" w:themeColor="accent6" w:themeTint="BF"/>
        <w:right w:val="single" w:sz="8" w:space="0" w:color="126AAC" w:themeColor="accent6" w:themeTint="BF"/>
        <w:insideH w:val="single" w:sz="8" w:space="0" w:color="126AAC" w:themeColor="accent6" w:themeTint="BF"/>
        <w:insideV w:val="single" w:sz="8" w:space="0" w:color="126AAC" w:themeColor="accent6" w:themeTint="BF"/>
      </w:tblBorders>
    </w:tblPr>
    <w:tcPr>
      <w:shd w:val="clear" w:color="auto" w:fill="9FD0F5" w:themeFill="accent6" w:themeFillTint="3F"/>
    </w:tcPr>
    <w:tblStylePr w:type="firstRow">
      <w:rPr>
        <w:b/>
        <w:bCs/>
      </w:rPr>
    </w:tblStylePr>
    <w:tblStylePr w:type="lastRow">
      <w:rPr>
        <w:b/>
        <w:bCs/>
      </w:rPr>
      <w:tblPr/>
      <w:tcPr>
        <w:tcBorders>
          <w:top w:val="single" w:sz="18" w:space="0" w:color="126AAC" w:themeColor="accent6" w:themeTint="BF"/>
        </w:tcBorders>
      </w:tcPr>
    </w:tblStylePr>
    <w:tblStylePr w:type="firstCol">
      <w:rPr>
        <w:b/>
        <w:bCs/>
      </w:rPr>
    </w:tblStylePr>
    <w:tblStylePr w:type="lastCol">
      <w:rPr>
        <w:b/>
        <w:bCs/>
      </w:rPr>
    </w:tblStylePr>
    <w:tblStylePr w:type="band1Vert">
      <w:tblPr/>
      <w:tcPr>
        <w:shd w:val="clear" w:color="auto" w:fill="3EA1EA" w:themeFill="accent6" w:themeFillTint="7F"/>
      </w:tcPr>
    </w:tblStylePr>
    <w:tblStylePr w:type="band1Horz">
      <w:tblPr/>
      <w:tcPr>
        <w:shd w:val="clear" w:color="auto" w:fill="3EA1EA" w:themeFill="accent6" w:themeFillTint="7F"/>
      </w:tcPr>
    </w:tblStylePr>
  </w:style>
  <w:style w:type="table" w:styleId="MediumGrid2">
    <w:name w:val="Medium Grid 2"/>
    <w:basedOn w:val="TableNormal"/>
    <w:uiPriority w:val="68"/>
    <w:rsid w:val="00B84943"/>
    <w:pPr>
      <w:spacing w:after="0" w:line="240" w:lineRule="auto"/>
    </w:pPr>
    <w:rPr>
      <w:rFonts w:asciiTheme="majorHAnsi" w:eastAsiaTheme="majorEastAsia" w:hAnsiTheme="majorHAnsi" w:cstheme="majorBidi"/>
      <w:color w:val="057995" w:themeColor="text1"/>
      <w:kern w:val="0"/>
      <w:sz w:val="22"/>
      <w:szCs w:val="22"/>
      <w:lang w:val="en-US"/>
      <w14:ligatures w14:val="none"/>
    </w:rPr>
    <w:tblPr>
      <w:tblStyleRowBandSize w:val="1"/>
      <w:tblStyleColBandSize w:val="1"/>
      <w:tblBorders>
        <w:top w:val="single" w:sz="8" w:space="0" w:color="057995" w:themeColor="text1"/>
        <w:left w:val="single" w:sz="8" w:space="0" w:color="057995" w:themeColor="text1"/>
        <w:bottom w:val="single" w:sz="8" w:space="0" w:color="057995" w:themeColor="text1"/>
        <w:right w:val="single" w:sz="8" w:space="0" w:color="057995" w:themeColor="text1"/>
        <w:insideH w:val="single" w:sz="8" w:space="0" w:color="057995" w:themeColor="text1"/>
        <w:insideV w:val="single" w:sz="8" w:space="0" w:color="057995" w:themeColor="text1"/>
      </w:tblBorders>
    </w:tblPr>
    <w:tcPr>
      <w:shd w:val="clear" w:color="auto" w:fill="A9ECFC" w:themeFill="text1" w:themeFillTint="3F"/>
    </w:tcPr>
    <w:tblStylePr w:type="firstRow">
      <w:rPr>
        <w:b/>
        <w:bCs/>
        <w:color w:val="057995" w:themeColor="text1"/>
      </w:rPr>
      <w:tblPr/>
      <w:tcPr>
        <w:shd w:val="clear" w:color="auto" w:fill="DDF7FE" w:themeFill="text1" w:themeFillTint="19"/>
      </w:tcPr>
    </w:tblStylePr>
    <w:tblStylePr w:type="lastRow">
      <w:rPr>
        <w:b/>
        <w:bCs/>
        <w:color w:val="057995" w:themeColor="text1"/>
      </w:rPr>
      <w:tblPr/>
      <w:tcPr>
        <w:tcBorders>
          <w:top w:val="single" w:sz="12" w:space="0" w:color="057995" w:themeColor="text1"/>
          <w:left w:val="nil"/>
          <w:bottom w:val="nil"/>
          <w:right w:val="nil"/>
          <w:insideH w:val="nil"/>
          <w:insideV w:val="nil"/>
        </w:tcBorders>
        <w:shd w:val="clear" w:color="auto" w:fill="FFFEFF" w:themeFill="background1"/>
      </w:tcPr>
    </w:tblStylePr>
    <w:tblStylePr w:type="firstCol">
      <w:rPr>
        <w:b/>
        <w:bCs/>
        <w:color w:val="057995" w:themeColor="text1"/>
      </w:rPr>
      <w:tblPr/>
      <w:tcPr>
        <w:tcBorders>
          <w:top w:val="nil"/>
          <w:left w:val="nil"/>
          <w:bottom w:val="nil"/>
          <w:right w:val="nil"/>
          <w:insideH w:val="nil"/>
          <w:insideV w:val="nil"/>
        </w:tcBorders>
        <w:shd w:val="clear" w:color="auto" w:fill="FFFEFF" w:themeFill="background1"/>
      </w:tcPr>
    </w:tblStylePr>
    <w:tblStylePr w:type="lastCol">
      <w:rPr>
        <w:b w:val="0"/>
        <w:bCs w:val="0"/>
        <w:color w:val="057995" w:themeColor="text1"/>
      </w:rPr>
      <w:tblPr/>
      <w:tcPr>
        <w:tcBorders>
          <w:top w:val="nil"/>
          <w:left w:val="nil"/>
          <w:bottom w:val="nil"/>
          <w:right w:val="nil"/>
          <w:insideH w:val="nil"/>
          <w:insideV w:val="nil"/>
        </w:tcBorders>
        <w:shd w:val="clear" w:color="auto" w:fill="B9EFFC" w:themeFill="text1" w:themeFillTint="33"/>
      </w:tcPr>
    </w:tblStylePr>
    <w:tblStylePr w:type="band1Vert">
      <w:tblPr/>
      <w:tcPr>
        <w:shd w:val="clear" w:color="auto" w:fill="53D8F9" w:themeFill="text1" w:themeFillTint="7F"/>
      </w:tcPr>
    </w:tblStylePr>
    <w:tblStylePr w:type="band1Horz">
      <w:tblPr/>
      <w:tcPr>
        <w:tcBorders>
          <w:insideH w:val="single" w:sz="6" w:space="0" w:color="057995" w:themeColor="text1"/>
          <w:insideV w:val="single" w:sz="6" w:space="0" w:color="057995" w:themeColor="text1"/>
        </w:tcBorders>
        <w:shd w:val="clear" w:color="auto" w:fill="53D8F9" w:themeFill="text1" w:themeFillTint="7F"/>
      </w:tcPr>
    </w:tblStylePr>
    <w:tblStylePr w:type="nwCell">
      <w:tblPr/>
      <w:tcPr>
        <w:shd w:val="clear" w:color="auto" w:fill="FFFEFF" w:themeFill="background1"/>
      </w:tcPr>
    </w:tblStylePr>
  </w:style>
  <w:style w:type="table" w:styleId="MediumGrid2-Accent1">
    <w:name w:val="Medium Grid 2 Accent 1"/>
    <w:basedOn w:val="TableNormal"/>
    <w:uiPriority w:val="68"/>
    <w:rsid w:val="00B84943"/>
    <w:pPr>
      <w:spacing w:after="0" w:line="240" w:lineRule="auto"/>
    </w:pPr>
    <w:rPr>
      <w:rFonts w:asciiTheme="majorHAnsi" w:eastAsiaTheme="majorEastAsia" w:hAnsiTheme="majorHAnsi" w:cstheme="majorBidi"/>
      <w:color w:val="057995" w:themeColor="text1"/>
      <w:kern w:val="0"/>
      <w:sz w:val="22"/>
      <w:szCs w:val="22"/>
      <w:lang w:val="en-US"/>
      <w14:ligatures w14:val="none"/>
    </w:rPr>
    <w:tblPr>
      <w:tblStyleRowBandSize w:val="1"/>
      <w:tblStyleColBandSize w:val="1"/>
      <w:tblBorders>
        <w:top w:val="single" w:sz="8" w:space="0" w:color="057995" w:themeColor="accent1"/>
        <w:left w:val="single" w:sz="8" w:space="0" w:color="057995" w:themeColor="accent1"/>
        <w:bottom w:val="single" w:sz="8" w:space="0" w:color="057995" w:themeColor="accent1"/>
        <w:right w:val="single" w:sz="8" w:space="0" w:color="057995" w:themeColor="accent1"/>
        <w:insideH w:val="single" w:sz="8" w:space="0" w:color="057995" w:themeColor="accent1"/>
        <w:insideV w:val="single" w:sz="8" w:space="0" w:color="057995" w:themeColor="accent1"/>
      </w:tblBorders>
    </w:tblPr>
    <w:tcPr>
      <w:shd w:val="clear" w:color="auto" w:fill="A9ECFC" w:themeFill="accent1" w:themeFillTint="3F"/>
    </w:tcPr>
    <w:tblStylePr w:type="firstRow">
      <w:rPr>
        <w:b/>
        <w:bCs/>
        <w:color w:val="057995" w:themeColor="text1"/>
      </w:rPr>
      <w:tblPr/>
      <w:tcPr>
        <w:shd w:val="clear" w:color="auto" w:fill="DDF7FE" w:themeFill="accent1" w:themeFillTint="19"/>
      </w:tcPr>
    </w:tblStylePr>
    <w:tblStylePr w:type="lastRow">
      <w:rPr>
        <w:b/>
        <w:bCs/>
        <w:color w:val="057995" w:themeColor="text1"/>
      </w:rPr>
      <w:tblPr/>
      <w:tcPr>
        <w:tcBorders>
          <w:top w:val="single" w:sz="12" w:space="0" w:color="057995" w:themeColor="text1"/>
          <w:left w:val="nil"/>
          <w:bottom w:val="nil"/>
          <w:right w:val="nil"/>
          <w:insideH w:val="nil"/>
          <w:insideV w:val="nil"/>
        </w:tcBorders>
        <w:shd w:val="clear" w:color="auto" w:fill="FFFEFF" w:themeFill="background1"/>
      </w:tcPr>
    </w:tblStylePr>
    <w:tblStylePr w:type="firstCol">
      <w:rPr>
        <w:b/>
        <w:bCs/>
        <w:color w:val="057995" w:themeColor="text1"/>
      </w:rPr>
      <w:tblPr/>
      <w:tcPr>
        <w:tcBorders>
          <w:top w:val="nil"/>
          <w:left w:val="nil"/>
          <w:bottom w:val="nil"/>
          <w:right w:val="nil"/>
          <w:insideH w:val="nil"/>
          <w:insideV w:val="nil"/>
        </w:tcBorders>
        <w:shd w:val="clear" w:color="auto" w:fill="FFFEFF" w:themeFill="background1"/>
      </w:tcPr>
    </w:tblStylePr>
    <w:tblStylePr w:type="lastCol">
      <w:rPr>
        <w:b w:val="0"/>
        <w:bCs w:val="0"/>
        <w:color w:val="057995" w:themeColor="text1"/>
      </w:rPr>
      <w:tblPr/>
      <w:tcPr>
        <w:tcBorders>
          <w:top w:val="nil"/>
          <w:left w:val="nil"/>
          <w:bottom w:val="nil"/>
          <w:right w:val="nil"/>
          <w:insideH w:val="nil"/>
          <w:insideV w:val="nil"/>
        </w:tcBorders>
        <w:shd w:val="clear" w:color="auto" w:fill="B9EFFC" w:themeFill="accent1" w:themeFillTint="33"/>
      </w:tcPr>
    </w:tblStylePr>
    <w:tblStylePr w:type="band1Vert">
      <w:tblPr/>
      <w:tcPr>
        <w:shd w:val="clear" w:color="auto" w:fill="53D8F9" w:themeFill="accent1" w:themeFillTint="7F"/>
      </w:tcPr>
    </w:tblStylePr>
    <w:tblStylePr w:type="band1Horz">
      <w:tblPr/>
      <w:tcPr>
        <w:tcBorders>
          <w:insideH w:val="single" w:sz="6" w:space="0" w:color="057995" w:themeColor="accent1"/>
          <w:insideV w:val="single" w:sz="6" w:space="0" w:color="057995" w:themeColor="accent1"/>
        </w:tcBorders>
        <w:shd w:val="clear" w:color="auto" w:fill="53D8F9" w:themeFill="accent1" w:themeFillTint="7F"/>
      </w:tcPr>
    </w:tblStylePr>
    <w:tblStylePr w:type="nwCell">
      <w:tblPr/>
      <w:tcPr>
        <w:shd w:val="clear" w:color="auto" w:fill="FFFEFF" w:themeFill="background1"/>
      </w:tcPr>
    </w:tblStylePr>
  </w:style>
  <w:style w:type="table" w:styleId="MediumGrid2-Accent2">
    <w:name w:val="Medium Grid 2 Accent 2"/>
    <w:basedOn w:val="TableNormal"/>
    <w:uiPriority w:val="68"/>
    <w:rsid w:val="00B84943"/>
    <w:pPr>
      <w:spacing w:after="0" w:line="240" w:lineRule="auto"/>
    </w:pPr>
    <w:rPr>
      <w:rFonts w:asciiTheme="majorHAnsi" w:eastAsiaTheme="majorEastAsia" w:hAnsiTheme="majorHAnsi" w:cstheme="majorBidi"/>
      <w:color w:val="057995" w:themeColor="text1"/>
      <w:kern w:val="0"/>
      <w:sz w:val="22"/>
      <w:szCs w:val="22"/>
      <w:lang w:val="en-US"/>
      <w14:ligatures w14:val="none"/>
    </w:rPr>
    <w:tblPr>
      <w:tblStyleRowBandSize w:val="1"/>
      <w:tblStyleColBandSize w:val="1"/>
      <w:tblBorders>
        <w:top w:val="single" w:sz="8" w:space="0" w:color="082F4C" w:themeColor="accent2"/>
        <w:left w:val="single" w:sz="8" w:space="0" w:color="082F4C" w:themeColor="accent2"/>
        <w:bottom w:val="single" w:sz="8" w:space="0" w:color="082F4C" w:themeColor="accent2"/>
        <w:right w:val="single" w:sz="8" w:space="0" w:color="082F4C" w:themeColor="accent2"/>
        <w:insideH w:val="single" w:sz="8" w:space="0" w:color="082F4C" w:themeColor="accent2"/>
        <w:insideV w:val="single" w:sz="8" w:space="0" w:color="082F4C" w:themeColor="accent2"/>
      </w:tblBorders>
    </w:tblPr>
    <w:tcPr>
      <w:shd w:val="clear" w:color="auto" w:fill="9FD0F5" w:themeFill="accent2" w:themeFillTint="3F"/>
    </w:tcPr>
    <w:tblStylePr w:type="firstRow">
      <w:rPr>
        <w:b/>
        <w:bCs/>
        <w:color w:val="057995" w:themeColor="text1"/>
      </w:rPr>
      <w:tblPr/>
      <w:tcPr>
        <w:shd w:val="clear" w:color="auto" w:fill="D9ECFB" w:themeFill="accent2" w:themeFillTint="19"/>
      </w:tcPr>
    </w:tblStylePr>
    <w:tblStylePr w:type="lastRow">
      <w:rPr>
        <w:b/>
        <w:bCs/>
        <w:color w:val="057995" w:themeColor="text1"/>
      </w:rPr>
      <w:tblPr/>
      <w:tcPr>
        <w:tcBorders>
          <w:top w:val="single" w:sz="12" w:space="0" w:color="057995" w:themeColor="text1"/>
          <w:left w:val="nil"/>
          <w:bottom w:val="nil"/>
          <w:right w:val="nil"/>
          <w:insideH w:val="nil"/>
          <w:insideV w:val="nil"/>
        </w:tcBorders>
        <w:shd w:val="clear" w:color="auto" w:fill="FFFEFF" w:themeFill="background1"/>
      </w:tcPr>
    </w:tblStylePr>
    <w:tblStylePr w:type="firstCol">
      <w:rPr>
        <w:b/>
        <w:bCs/>
        <w:color w:val="057995" w:themeColor="text1"/>
      </w:rPr>
      <w:tblPr/>
      <w:tcPr>
        <w:tcBorders>
          <w:top w:val="nil"/>
          <w:left w:val="nil"/>
          <w:bottom w:val="nil"/>
          <w:right w:val="nil"/>
          <w:insideH w:val="nil"/>
          <w:insideV w:val="nil"/>
        </w:tcBorders>
        <w:shd w:val="clear" w:color="auto" w:fill="FFFEFF" w:themeFill="background1"/>
      </w:tcPr>
    </w:tblStylePr>
    <w:tblStylePr w:type="lastCol">
      <w:rPr>
        <w:b w:val="0"/>
        <w:bCs w:val="0"/>
        <w:color w:val="057995" w:themeColor="text1"/>
      </w:rPr>
      <w:tblPr/>
      <w:tcPr>
        <w:tcBorders>
          <w:top w:val="nil"/>
          <w:left w:val="nil"/>
          <w:bottom w:val="nil"/>
          <w:right w:val="nil"/>
          <w:insideH w:val="nil"/>
          <w:insideV w:val="nil"/>
        </w:tcBorders>
        <w:shd w:val="clear" w:color="auto" w:fill="B1D9F7" w:themeFill="accent2" w:themeFillTint="33"/>
      </w:tcPr>
    </w:tblStylePr>
    <w:tblStylePr w:type="band1Vert">
      <w:tblPr/>
      <w:tcPr>
        <w:shd w:val="clear" w:color="auto" w:fill="3EA1EA" w:themeFill="accent2" w:themeFillTint="7F"/>
      </w:tcPr>
    </w:tblStylePr>
    <w:tblStylePr w:type="band1Horz">
      <w:tblPr/>
      <w:tcPr>
        <w:tcBorders>
          <w:insideH w:val="single" w:sz="6" w:space="0" w:color="082F4C" w:themeColor="accent2"/>
          <w:insideV w:val="single" w:sz="6" w:space="0" w:color="082F4C" w:themeColor="accent2"/>
        </w:tcBorders>
        <w:shd w:val="clear" w:color="auto" w:fill="3EA1EA" w:themeFill="accent2" w:themeFillTint="7F"/>
      </w:tcPr>
    </w:tblStylePr>
    <w:tblStylePr w:type="nwCell">
      <w:tblPr/>
      <w:tcPr>
        <w:shd w:val="clear" w:color="auto" w:fill="FFFEFF" w:themeFill="background1"/>
      </w:tcPr>
    </w:tblStylePr>
  </w:style>
  <w:style w:type="table" w:styleId="MediumGrid2-Accent3">
    <w:name w:val="Medium Grid 2 Accent 3"/>
    <w:basedOn w:val="TableNormal"/>
    <w:uiPriority w:val="68"/>
    <w:rsid w:val="00B84943"/>
    <w:pPr>
      <w:spacing w:after="0" w:line="240" w:lineRule="auto"/>
    </w:pPr>
    <w:rPr>
      <w:rFonts w:asciiTheme="majorHAnsi" w:eastAsiaTheme="majorEastAsia" w:hAnsiTheme="majorHAnsi" w:cstheme="majorBidi"/>
      <w:color w:val="057995" w:themeColor="text1"/>
      <w:kern w:val="0"/>
      <w:sz w:val="22"/>
      <w:szCs w:val="22"/>
      <w:lang w:val="en-US"/>
      <w14:ligatures w14:val="none"/>
    </w:rPr>
    <w:tblPr>
      <w:tblStyleRowBandSize w:val="1"/>
      <w:tblStyleColBandSize w:val="1"/>
      <w:tblBorders>
        <w:top w:val="single" w:sz="8" w:space="0" w:color="A31D49" w:themeColor="accent3"/>
        <w:left w:val="single" w:sz="8" w:space="0" w:color="A31D49" w:themeColor="accent3"/>
        <w:bottom w:val="single" w:sz="8" w:space="0" w:color="A31D49" w:themeColor="accent3"/>
        <w:right w:val="single" w:sz="8" w:space="0" w:color="A31D49" w:themeColor="accent3"/>
        <w:insideH w:val="single" w:sz="8" w:space="0" w:color="A31D49" w:themeColor="accent3"/>
        <w:insideV w:val="single" w:sz="8" w:space="0" w:color="A31D49" w:themeColor="accent3"/>
      </w:tblBorders>
    </w:tblPr>
    <w:tcPr>
      <w:shd w:val="clear" w:color="auto" w:fill="F3BCCE" w:themeFill="accent3" w:themeFillTint="3F"/>
    </w:tcPr>
    <w:tblStylePr w:type="firstRow">
      <w:rPr>
        <w:b/>
        <w:bCs/>
        <w:color w:val="057995" w:themeColor="text1"/>
      </w:rPr>
      <w:tblPr/>
      <w:tcPr>
        <w:shd w:val="clear" w:color="auto" w:fill="FAE4EB" w:themeFill="accent3" w:themeFillTint="19"/>
      </w:tcPr>
    </w:tblStylePr>
    <w:tblStylePr w:type="lastRow">
      <w:rPr>
        <w:b/>
        <w:bCs/>
        <w:color w:val="057995" w:themeColor="text1"/>
      </w:rPr>
      <w:tblPr/>
      <w:tcPr>
        <w:tcBorders>
          <w:top w:val="single" w:sz="12" w:space="0" w:color="057995" w:themeColor="text1"/>
          <w:left w:val="nil"/>
          <w:bottom w:val="nil"/>
          <w:right w:val="nil"/>
          <w:insideH w:val="nil"/>
          <w:insideV w:val="nil"/>
        </w:tcBorders>
        <w:shd w:val="clear" w:color="auto" w:fill="FFFEFF" w:themeFill="background1"/>
      </w:tcPr>
    </w:tblStylePr>
    <w:tblStylePr w:type="firstCol">
      <w:rPr>
        <w:b/>
        <w:bCs/>
        <w:color w:val="057995" w:themeColor="text1"/>
      </w:rPr>
      <w:tblPr/>
      <w:tcPr>
        <w:tcBorders>
          <w:top w:val="nil"/>
          <w:left w:val="nil"/>
          <w:bottom w:val="nil"/>
          <w:right w:val="nil"/>
          <w:insideH w:val="nil"/>
          <w:insideV w:val="nil"/>
        </w:tcBorders>
        <w:shd w:val="clear" w:color="auto" w:fill="FFFEFF" w:themeFill="background1"/>
      </w:tcPr>
    </w:tblStylePr>
    <w:tblStylePr w:type="lastCol">
      <w:rPr>
        <w:b w:val="0"/>
        <w:bCs w:val="0"/>
        <w:color w:val="057995" w:themeColor="text1"/>
      </w:rPr>
      <w:tblPr/>
      <w:tcPr>
        <w:tcBorders>
          <w:top w:val="nil"/>
          <w:left w:val="nil"/>
          <w:bottom w:val="nil"/>
          <w:right w:val="nil"/>
          <w:insideH w:val="nil"/>
          <w:insideV w:val="nil"/>
        </w:tcBorders>
        <w:shd w:val="clear" w:color="auto" w:fill="F5C8D7" w:themeFill="accent3" w:themeFillTint="33"/>
      </w:tcPr>
    </w:tblStylePr>
    <w:tblStylePr w:type="band1Vert">
      <w:tblPr/>
      <w:tcPr>
        <w:shd w:val="clear" w:color="auto" w:fill="E7789C" w:themeFill="accent3" w:themeFillTint="7F"/>
      </w:tcPr>
    </w:tblStylePr>
    <w:tblStylePr w:type="band1Horz">
      <w:tblPr/>
      <w:tcPr>
        <w:tcBorders>
          <w:insideH w:val="single" w:sz="6" w:space="0" w:color="A31D49" w:themeColor="accent3"/>
          <w:insideV w:val="single" w:sz="6" w:space="0" w:color="A31D49" w:themeColor="accent3"/>
        </w:tcBorders>
        <w:shd w:val="clear" w:color="auto" w:fill="E7789C" w:themeFill="accent3" w:themeFillTint="7F"/>
      </w:tcPr>
    </w:tblStylePr>
    <w:tblStylePr w:type="nwCell">
      <w:tblPr/>
      <w:tcPr>
        <w:shd w:val="clear" w:color="auto" w:fill="FFFEFF" w:themeFill="background1"/>
      </w:tcPr>
    </w:tblStylePr>
  </w:style>
  <w:style w:type="table" w:styleId="MediumGrid2-Accent4">
    <w:name w:val="Medium Grid 2 Accent 4"/>
    <w:basedOn w:val="TableNormal"/>
    <w:uiPriority w:val="68"/>
    <w:rsid w:val="00B84943"/>
    <w:pPr>
      <w:spacing w:after="0" w:line="240" w:lineRule="auto"/>
    </w:pPr>
    <w:rPr>
      <w:rFonts w:asciiTheme="majorHAnsi" w:eastAsiaTheme="majorEastAsia" w:hAnsiTheme="majorHAnsi" w:cstheme="majorBidi"/>
      <w:color w:val="057995" w:themeColor="text1"/>
      <w:kern w:val="0"/>
      <w:sz w:val="22"/>
      <w:szCs w:val="22"/>
      <w:lang w:val="en-US"/>
      <w14:ligatures w14:val="none"/>
    </w:rPr>
    <w:tblPr>
      <w:tblStyleRowBandSize w:val="1"/>
      <w:tblStyleColBandSize w:val="1"/>
      <w:tblBorders>
        <w:top w:val="single" w:sz="8" w:space="0" w:color="CEC5BA" w:themeColor="accent4"/>
        <w:left w:val="single" w:sz="8" w:space="0" w:color="CEC5BA" w:themeColor="accent4"/>
        <w:bottom w:val="single" w:sz="8" w:space="0" w:color="CEC5BA" w:themeColor="accent4"/>
        <w:right w:val="single" w:sz="8" w:space="0" w:color="CEC5BA" w:themeColor="accent4"/>
        <w:insideH w:val="single" w:sz="8" w:space="0" w:color="CEC5BA" w:themeColor="accent4"/>
        <w:insideV w:val="single" w:sz="8" w:space="0" w:color="CEC5BA" w:themeColor="accent4"/>
      </w:tblBorders>
    </w:tblPr>
    <w:tcPr>
      <w:shd w:val="clear" w:color="auto" w:fill="F2F0ED" w:themeFill="accent4" w:themeFillTint="3F"/>
    </w:tcPr>
    <w:tblStylePr w:type="firstRow">
      <w:rPr>
        <w:b/>
        <w:bCs/>
        <w:color w:val="057995" w:themeColor="text1"/>
      </w:rPr>
      <w:tblPr/>
      <w:tcPr>
        <w:shd w:val="clear" w:color="auto" w:fill="FAF9F8" w:themeFill="accent4" w:themeFillTint="19"/>
      </w:tcPr>
    </w:tblStylePr>
    <w:tblStylePr w:type="lastRow">
      <w:rPr>
        <w:b/>
        <w:bCs/>
        <w:color w:val="057995" w:themeColor="text1"/>
      </w:rPr>
      <w:tblPr/>
      <w:tcPr>
        <w:tcBorders>
          <w:top w:val="single" w:sz="12" w:space="0" w:color="057995" w:themeColor="text1"/>
          <w:left w:val="nil"/>
          <w:bottom w:val="nil"/>
          <w:right w:val="nil"/>
          <w:insideH w:val="nil"/>
          <w:insideV w:val="nil"/>
        </w:tcBorders>
        <w:shd w:val="clear" w:color="auto" w:fill="FFFEFF" w:themeFill="background1"/>
      </w:tcPr>
    </w:tblStylePr>
    <w:tblStylePr w:type="firstCol">
      <w:rPr>
        <w:b/>
        <w:bCs/>
        <w:color w:val="057995" w:themeColor="text1"/>
      </w:rPr>
      <w:tblPr/>
      <w:tcPr>
        <w:tcBorders>
          <w:top w:val="nil"/>
          <w:left w:val="nil"/>
          <w:bottom w:val="nil"/>
          <w:right w:val="nil"/>
          <w:insideH w:val="nil"/>
          <w:insideV w:val="nil"/>
        </w:tcBorders>
        <w:shd w:val="clear" w:color="auto" w:fill="FFFEFF" w:themeFill="background1"/>
      </w:tcPr>
    </w:tblStylePr>
    <w:tblStylePr w:type="lastCol">
      <w:rPr>
        <w:b w:val="0"/>
        <w:bCs w:val="0"/>
        <w:color w:val="057995" w:themeColor="text1"/>
      </w:rPr>
      <w:tblPr/>
      <w:tcPr>
        <w:tcBorders>
          <w:top w:val="nil"/>
          <w:left w:val="nil"/>
          <w:bottom w:val="nil"/>
          <w:right w:val="nil"/>
          <w:insideH w:val="nil"/>
          <w:insideV w:val="nil"/>
        </w:tcBorders>
        <w:shd w:val="clear" w:color="auto" w:fill="F5F3F1" w:themeFill="accent4" w:themeFillTint="33"/>
      </w:tcPr>
    </w:tblStylePr>
    <w:tblStylePr w:type="band1Vert">
      <w:tblPr/>
      <w:tcPr>
        <w:shd w:val="clear" w:color="auto" w:fill="E6E1DC" w:themeFill="accent4" w:themeFillTint="7F"/>
      </w:tcPr>
    </w:tblStylePr>
    <w:tblStylePr w:type="band1Horz">
      <w:tblPr/>
      <w:tcPr>
        <w:tcBorders>
          <w:insideH w:val="single" w:sz="6" w:space="0" w:color="CEC5BA" w:themeColor="accent4"/>
          <w:insideV w:val="single" w:sz="6" w:space="0" w:color="CEC5BA" w:themeColor="accent4"/>
        </w:tcBorders>
        <w:shd w:val="clear" w:color="auto" w:fill="E6E1DC" w:themeFill="accent4" w:themeFillTint="7F"/>
      </w:tcPr>
    </w:tblStylePr>
    <w:tblStylePr w:type="nwCell">
      <w:tblPr/>
      <w:tcPr>
        <w:shd w:val="clear" w:color="auto" w:fill="FFFEFF" w:themeFill="background1"/>
      </w:tcPr>
    </w:tblStylePr>
  </w:style>
  <w:style w:type="table" w:styleId="MediumGrid2-Accent5">
    <w:name w:val="Medium Grid 2 Accent 5"/>
    <w:basedOn w:val="TableNormal"/>
    <w:uiPriority w:val="68"/>
    <w:rsid w:val="00B84943"/>
    <w:pPr>
      <w:spacing w:after="0" w:line="240" w:lineRule="auto"/>
    </w:pPr>
    <w:rPr>
      <w:rFonts w:asciiTheme="majorHAnsi" w:eastAsiaTheme="majorEastAsia" w:hAnsiTheme="majorHAnsi" w:cstheme="majorBidi"/>
      <w:color w:val="057995" w:themeColor="text1"/>
      <w:kern w:val="0"/>
      <w:sz w:val="22"/>
      <w:szCs w:val="22"/>
      <w:lang w:val="en-US"/>
      <w14:ligatures w14:val="none"/>
    </w:rPr>
    <w:tblPr>
      <w:tblStyleRowBandSize w:val="1"/>
      <w:tblStyleColBandSize w:val="1"/>
      <w:tblBorders>
        <w:top w:val="single" w:sz="8" w:space="0" w:color="057995" w:themeColor="accent5"/>
        <w:left w:val="single" w:sz="8" w:space="0" w:color="057995" w:themeColor="accent5"/>
        <w:bottom w:val="single" w:sz="8" w:space="0" w:color="057995" w:themeColor="accent5"/>
        <w:right w:val="single" w:sz="8" w:space="0" w:color="057995" w:themeColor="accent5"/>
        <w:insideH w:val="single" w:sz="8" w:space="0" w:color="057995" w:themeColor="accent5"/>
        <w:insideV w:val="single" w:sz="8" w:space="0" w:color="057995" w:themeColor="accent5"/>
      </w:tblBorders>
    </w:tblPr>
    <w:tcPr>
      <w:shd w:val="clear" w:color="auto" w:fill="A9ECFC" w:themeFill="accent5" w:themeFillTint="3F"/>
    </w:tcPr>
    <w:tblStylePr w:type="firstRow">
      <w:rPr>
        <w:b/>
        <w:bCs/>
        <w:color w:val="057995" w:themeColor="text1"/>
      </w:rPr>
      <w:tblPr/>
      <w:tcPr>
        <w:shd w:val="clear" w:color="auto" w:fill="DDF7FE" w:themeFill="accent5" w:themeFillTint="19"/>
      </w:tcPr>
    </w:tblStylePr>
    <w:tblStylePr w:type="lastRow">
      <w:rPr>
        <w:b/>
        <w:bCs/>
        <w:color w:val="057995" w:themeColor="text1"/>
      </w:rPr>
      <w:tblPr/>
      <w:tcPr>
        <w:tcBorders>
          <w:top w:val="single" w:sz="12" w:space="0" w:color="057995" w:themeColor="text1"/>
          <w:left w:val="nil"/>
          <w:bottom w:val="nil"/>
          <w:right w:val="nil"/>
          <w:insideH w:val="nil"/>
          <w:insideV w:val="nil"/>
        </w:tcBorders>
        <w:shd w:val="clear" w:color="auto" w:fill="FFFEFF" w:themeFill="background1"/>
      </w:tcPr>
    </w:tblStylePr>
    <w:tblStylePr w:type="firstCol">
      <w:rPr>
        <w:b/>
        <w:bCs/>
        <w:color w:val="057995" w:themeColor="text1"/>
      </w:rPr>
      <w:tblPr/>
      <w:tcPr>
        <w:tcBorders>
          <w:top w:val="nil"/>
          <w:left w:val="nil"/>
          <w:bottom w:val="nil"/>
          <w:right w:val="nil"/>
          <w:insideH w:val="nil"/>
          <w:insideV w:val="nil"/>
        </w:tcBorders>
        <w:shd w:val="clear" w:color="auto" w:fill="FFFEFF" w:themeFill="background1"/>
      </w:tcPr>
    </w:tblStylePr>
    <w:tblStylePr w:type="lastCol">
      <w:rPr>
        <w:b w:val="0"/>
        <w:bCs w:val="0"/>
        <w:color w:val="057995" w:themeColor="text1"/>
      </w:rPr>
      <w:tblPr/>
      <w:tcPr>
        <w:tcBorders>
          <w:top w:val="nil"/>
          <w:left w:val="nil"/>
          <w:bottom w:val="nil"/>
          <w:right w:val="nil"/>
          <w:insideH w:val="nil"/>
          <w:insideV w:val="nil"/>
        </w:tcBorders>
        <w:shd w:val="clear" w:color="auto" w:fill="B9EFFC" w:themeFill="accent5" w:themeFillTint="33"/>
      </w:tcPr>
    </w:tblStylePr>
    <w:tblStylePr w:type="band1Vert">
      <w:tblPr/>
      <w:tcPr>
        <w:shd w:val="clear" w:color="auto" w:fill="53D8F9" w:themeFill="accent5" w:themeFillTint="7F"/>
      </w:tcPr>
    </w:tblStylePr>
    <w:tblStylePr w:type="band1Horz">
      <w:tblPr/>
      <w:tcPr>
        <w:tcBorders>
          <w:insideH w:val="single" w:sz="6" w:space="0" w:color="057995" w:themeColor="accent5"/>
          <w:insideV w:val="single" w:sz="6" w:space="0" w:color="057995" w:themeColor="accent5"/>
        </w:tcBorders>
        <w:shd w:val="clear" w:color="auto" w:fill="53D8F9" w:themeFill="accent5" w:themeFillTint="7F"/>
      </w:tcPr>
    </w:tblStylePr>
    <w:tblStylePr w:type="nwCell">
      <w:tblPr/>
      <w:tcPr>
        <w:shd w:val="clear" w:color="auto" w:fill="FFFEFF" w:themeFill="background1"/>
      </w:tcPr>
    </w:tblStylePr>
  </w:style>
  <w:style w:type="table" w:styleId="MediumGrid2-Accent6">
    <w:name w:val="Medium Grid 2 Accent 6"/>
    <w:basedOn w:val="TableNormal"/>
    <w:uiPriority w:val="68"/>
    <w:rsid w:val="00B84943"/>
    <w:pPr>
      <w:spacing w:after="0" w:line="240" w:lineRule="auto"/>
    </w:pPr>
    <w:rPr>
      <w:rFonts w:asciiTheme="majorHAnsi" w:eastAsiaTheme="majorEastAsia" w:hAnsiTheme="majorHAnsi" w:cstheme="majorBidi"/>
      <w:color w:val="057995" w:themeColor="text1"/>
      <w:kern w:val="0"/>
      <w:sz w:val="22"/>
      <w:szCs w:val="22"/>
      <w:lang w:val="en-US"/>
      <w14:ligatures w14:val="none"/>
    </w:rPr>
    <w:tblPr>
      <w:tblStyleRowBandSize w:val="1"/>
      <w:tblStyleColBandSize w:val="1"/>
      <w:tblBorders>
        <w:top w:val="single" w:sz="8" w:space="0" w:color="082F4C" w:themeColor="accent6"/>
        <w:left w:val="single" w:sz="8" w:space="0" w:color="082F4C" w:themeColor="accent6"/>
        <w:bottom w:val="single" w:sz="8" w:space="0" w:color="082F4C" w:themeColor="accent6"/>
        <w:right w:val="single" w:sz="8" w:space="0" w:color="082F4C" w:themeColor="accent6"/>
        <w:insideH w:val="single" w:sz="8" w:space="0" w:color="082F4C" w:themeColor="accent6"/>
        <w:insideV w:val="single" w:sz="8" w:space="0" w:color="082F4C" w:themeColor="accent6"/>
      </w:tblBorders>
    </w:tblPr>
    <w:tcPr>
      <w:shd w:val="clear" w:color="auto" w:fill="9FD0F5" w:themeFill="accent6" w:themeFillTint="3F"/>
    </w:tcPr>
    <w:tblStylePr w:type="firstRow">
      <w:rPr>
        <w:b/>
        <w:bCs/>
        <w:color w:val="057995" w:themeColor="text1"/>
      </w:rPr>
      <w:tblPr/>
      <w:tcPr>
        <w:shd w:val="clear" w:color="auto" w:fill="D9ECFB" w:themeFill="accent6" w:themeFillTint="19"/>
      </w:tcPr>
    </w:tblStylePr>
    <w:tblStylePr w:type="lastRow">
      <w:rPr>
        <w:b/>
        <w:bCs/>
        <w:color w:val="057995" w:themeColor="text1"/>
      </w:rPr>
      <w:tblPr/>
      <w:tcPr>
        <w:tcBorders>
          <w:top w:val="single" w:sz="12" w:space="0" w:color="057995" w:themeColor="text1"/>
          <w:left w:val="nil"/>
          <w:bottom w:val="nil"/>
          <w:right w:val="nil"/>
          <w:insideH w:val="nil"/>
          <w:insideV w:val="nil"/>
        </w:tcBorders>
        <w:shd w:val="clear" w:color="auto" w:fill="FFFEFF" w:themeFill="background1"/>
      </w:tcPr>
    </w:tblStylePr>
    <w:tblStylePr w:type="firstCol">
      <w:rPr>
        <w:b/>
        <w:bCs/>
        <w:color w:val="057995" w:themeColor="text1"/>
      </w:rPr>
      <w:tblPr/>
      <w:tcPr>
        <w:tcBorders>
          <w:top w:val="nil"/>
          <w:left w:val="nil"/>
          <w:bottom w:val="nil"/>
          <w:right w:val="nil"/>
          <w:insideH w:val="nil"/>
          <w:insideV w:val="nil"/>
        </w:tcBorders>
        <w:shd w:val="clear" w:color="auto" w:fill="FFFEFF" w:themeFill="background1"/>
      </w:tcPr>
    </w:tblStylePr>
    <w:tblStylePr w:type="lastCol">
      <w:rPr>
        <w:b w:val="0"/>
        <w:bCs w:val="0"/>
        <w:color w:val="057995" w:themeColor="text1"/>
      </w:rPr>
      <w:tblPr/>
      <w:tcPr>
        <w:tcBorders>
          <w:top w:val="nil"/>
          <w:left w:val="nil"/>
          <w:bottom w:val="nil"/>
          <w:right w:val="nil"/>
          <w:insideH w:val="nil"/>
          <w:insideV w:val="nil"/>
        </w:tcBorders>
        <w:shd w:val="clear" w:color="auto" w:fill="B1D9F7" w:themeFill="accent6" w:themeFillTint="33"/>
      </w:tcPr>
    </w:tblStylePr>
    <w:tblStylePr w:type="band1Vert">
      <w:tblPr/>
      <w:tcPr>
        <w:shd w:val="clear" w:color="auto" w:fill="3EA1EA" w:themeFill="accent6" w:themeFillTint="7F"/>
      </w:tcPr>
    </w:tblStylePr>
    <w:tblStylePr w:type="band1Horz">
      <w:tblPr/>
      <w:tcPr>
        <w:tcBorders>
          <w:insideH w:val="single" w:sz="6" w:space="0" w:color="082F4C" w:themeColor="accent6"/>
          <w:insideV w:val="single" w:sz="6" w:space="0" w:color="082F4C" w:themeColor="accent6"/>
        </w:tcBorders>
        <w:shd w:val="clear" w:color="auto" w:fill="3EA1EA" w:themeFill="accent6" w:themeFillTint="7F"/>
      </w:tcPr>
    </w:tblStylePr>
    <w:tblStylePr w:type="nwCell">
      <w:tblPr/>
      <w:tcPr>
        <w:shd w:val="clear" w:color="auto" w:fill="FFFEFF" w:themeFill="background1"/>
      </w:tcPr>
    </w:tblStylePr>
  </w:style>
  <w:style w:type="table" w:styleId="MediumGrid3">
    <w:name w:val="Medium Grid 3"/>
    <w:basedOn w:val="TableNormal"/>
    <w:uiPriority w:val="69"/>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single" w:sz="6" w:space="0" w:color="FFFEFF" w:themeColor="background1"/>
        <w:insideV w:val="single" w:sz="6" w:space="0" w:color="FFFEFF" w:themeColor="background1"/>
      </w:tblBorders>
    </w:tblPr>
    <w:tcPr>
      <w:shd w:val="clear" w:color="auto" w:fill="A9ECFC" w:themeFill="text1" w:themeFillTint="3F"/>
    </w:tcPr>
    <w:tblStylePr w:type="firstRow">
      <w:rPr>
        <w:b/>
        <w:bCs/>
        <w:i w:val="0"/>
        <w:iCs w:val="0"/>
        <w:color w:val="FFFEFF" w:themeColor="background1"/>
      </w:rPr>
      <w:tblPr/>
      <w:tcPr>
        <w:tcBorders>
          <w:top w:val="single" w:sz="8" w:space="0" w:color="FFFEFF" w:themeColor="background1"/>
          <w:left w:val="single" w:sz="8" w:space="0" w:color="FFFEFF" w:themeColor="background1"/>
          <w:bottom w:val="single" w:sz="24" w:space="0" w:color="FFFEFF" w:themeColor="background1"/>
          <w:right w:val="single" w:sz="8" w:space="0" w:color="FFFEFF" w:themeColor="background1"/>
          <w:insideH w:val="nil"/>
          <w:insideV w:val="single" w:sz="8" w:space="0" w:color="FFFEFF" w:themeColor="background1"/>
        </w:tcBorders>
        <w:shd w:val="clear" w:color="auto" w:fill="057995" w:themeFill="text1"/>
      </w:tcPr>
    </w:tblStylePr>
    <w:tblStylePr w:type="lastRow">
      <w:rPr>
        <w:b/>
        <w:bCs/>
        <w:i w:val="0"/>
        <w:iCs w:val="0"/>
        <w:color w:val="FFFEFF" w:themeColor="background1"/>
      </w:rPr>
      <w:tblPr/>
      <w:tcPr>
        <w:tcBorders>
          <w:top w:val="single" w:sz="24" w:space="0" w:color="FFFEFF" w:themeColor="background1"/>
          <w:left w:val="single" w:sz="8" w:space="0" w:color="FFFEFF" w:themeColor="background1"/>
          <w:bottom w:val="single" w:sz="8" w:space="0" w:color="FFFEFF" w:themeColor="background1"/>
          <w:right w:val="single" w:sz="8" w:space="0" w:color="FFFEFF" w:themeColor="background1"/>
          <w:insideH w:val="nil"/>
          <w:insideV w:val="single" w:sz="8" w:space="0" w:color="FFFEFF" w:themeColor="background1"/>
        </w:tcBorders>
        <w:shd w:val="clear" w:color="auto" w:fill="057995" w:themeFill="text1"/>
      </w:tcPr>
    </w:tblStylePr>
    <w:tblStylePr w:type="firstCol">
      <w:rPr>
        <w:b/>
        <w:bCs/>
        <w:i w:val="0"/>
        <w:iCs w:val="0"/>
        <w:color w:val="FFFEFF" w:themeColor="background1"/>
      </w:rPr>
      <w:tblPr/>
      <w:tcPr>
        <w:tcBorders>
          <w:left w:val="single" w:sz="8" w:space="0" w:color="FFFEFF" w:themeColor="background1"/>
          <w:right w:val="single" w:sz="24" w:space="0" w:color="FFFEFF" w:themeColor="background1"/>
          <w:insideH w:val="nil"/>
          <w:insideV w:val="nil"/>
        </w:tcBorders>
        <w:shd w:val="clear" w:color="auto" w:fill="057995" w:themeFill="text1"/>
      </w:tcPr>
    </w:tblStylePr>
    <w:tblStylePr w:type="lastCol">
      <w:rPr>
        <w:b/>
        <w:bCs/>
        <w:i w:val="0"/>
        <w:iCs w:val="0"/>
        <w:color w:val="FFFEFF" w:themeColor="background1"/>
      </w:rPr>
      <w:tblPr/>
      <w:tcPr>
        <w:tcBorders>
          <w:top w:val="nil"/>
          <w:left w:val="single" w:sz="24" w:space="0" w:color="FFFEFF" w:themeColor="background1"/>
          <w:bottom w:val="nil"/>
          <w:right w:val="nil"/>
          <w:insideH w:val="nil"/>
          <w:insideV w:val="nil"/>
        </w:tcBorders>
        <w:shd w:val="clear" w:color="auto" w:fill="057995" w:themeFill="text1"/>
      </w:tcPr>
    </w:tblStylePr>
    <w:tblStylePr w:type="band1Vert">
      <w:tblPr/>
      <w:tcPr>
        <w:tc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nil"/>
          <w:insideV w:val="nil"/>
        </w:tcBorders>
        <w:shd w:val="clear" w:color="auto" w:fill="53D8F9" w:themeFill="text1" w:themeFillTint="7F"/>
      </w:tcPr>
    </w:tblStylePr>
    <w:tblStylePr w:type="band1Horz">
      <w:tblPr/>
      <w:tcPr>
        <w:tc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single" w:sz="8" w:space="0" w:color="FFFEFF" w:themeColor="background1"/>
          <w:insideV w:val="single" w:sz="8" w:space="0" w:color="FFFEFF" w:themeColor="background1"/>
        </w:tcBorders>
        <w:shd w:val="clear" w:color="auto" w:fill="53D8F9" w:themeFill="text1" w:themeFillTint="7F"/>
      </w:tcPr>
    </w:tblStylePr>
  </w:style>
  <w:style w:type="table" w:styleId="MediumGrid3-Accent1">
    <w:name w:val="Medium Grid 3 Accent 1"/>
    <w:basedOn w:val="TableNormal"/>
    <w:uiPriority w:val="69"/>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single" w:sz="6" w:space="0" w:color="FFFEFF" w:themeColor="background1"/>
        <w:insideV w:val="single" w:sz="6" w:space="0" w:color="FFFEFF" w:themeColor="background1"/>
      </w:tblBorders>
    </w:tblPr>
    <w:tcPr>
      <w:shd w:val="clear" w:color="auto" w:fill="A9ECFC" w:themeFill="accent1" w:themeFillTint="3F"/>
    </w:tcPr>
    <w:tblStylePr w:type="firstRow">
      <w:rPr>
        <w:b/>
        <w:bCs/>
        <w:i w:val="0"/>
        <w:iCs w:val="0"/>
        <w:color w:val="FFFEFF" w:themeColor="background1"/>
      </w:rPr>
      <w:tblPr/>
      <w:tcPr>
        <w:tcBorders>
          <w:top w:val="single" w:sz="8" w:space="0" w:color="FFFEFF" w:themeColor="background1"/>
          <w:left w:val="single" w:sz="8" w:space="0" w:color="FFFEFF" w:themeColor="background1"/>
          <w:bottom w:val="single" w:sz="24" w:space="0" w:color="FFFEFF" w:themeColor="background1"/>
          <w:right w:val="single" w:sz="8" w:space="0" w:color="FFFEFF" w:themeColor="background1"/>
          <w:insideH w:val="nil"/>
          <w:insideV w:val="single" w:sz="8" w:space="0" w:color="FFFEFF" w:themeColor="background1"/>
        </w:tcBorders>
        <w:shd w:val="clear" w:color="auto" w:fill="057995" w:themeFill="accent1"/>
      </w:tcPr>
    </w:tblStylePr>
    <w:tblStylePr w:type="lastRow">
      <w:rPr>
        <w:b/>
        <w:bCs/>
        <w:i w:val="0"/>
        <w:iCs w:val="0"/>
        <w:color w:val="FFFEFF" w:themeColor="background1"/>
      </w:rPr>
      <w:tblPr/>
      <w:tcPr>
        <w:tcBorders>
          <w:top w:val="single" w:sz="24" w:space="0" w:color="FFFEFF" w:themeColor="background1"/>
          <w:left w:val="single" w:sz="8" w:space="0" w:color="FFFEFF" w:themeColor="background1"/>
          <w:bottom w:val="single" w:sz="8" w:space="0" w:color="FFFEFF" w:themeColor="background1"/>
          <w:right w:val="single" w:sz="8" w:space="0" w:color="FFFEFF" w:themeColor="background1"/>
          <w:insideH w:val="nil"/>
          <w:insideV w:val="single" w:sz="8" w:space="0" w:color="FFFEFF" w:themeColor="background1"/>
        </w:tcBorders>
        <w:shd w:val="clear" w:color="auto" w:fill="057995" w:themeFill="accent1"/>
      </w:tcPr>
    </w:tblStylePr>
    <w:tblStylePr w:type="firstCol">
      <w:rPr>
        <w:b/>
        <w:bCs/>
        <w:i w:val="0"/>
        <w:iCs w:val="0"/>
        <w:color w:val="FFFEFF" w:themeColor="background1"/>
      </w:rPr>
      <w:tblPr/>
      <w:tcPr>
        <w:tcBorders>
          <w:left w:val="single" w:sz="8" w:space="0" w:color="FFFEFF" w:themeColor="background1"/>
          <w:right w:val="single" w:sz="24" w:space="0" w:color="FFFEFF" w:themeColor="background1"/>
          <w:insideH w:val="nil"/>
          <w:insideV w:val="nil"/>
        </w:tcBorders>
        <w:shd w:val="clear" w:color="auto" w:fill="057995" w:themeFill="accent1"/>
      </w:tcPr>
    </w:tblStylePr>
    <w:tblStylePr w:type="lastCol">
      <w:rPr>
        <w:b/>
        <w:bCs/>
        <w:i w:val="0"/>
        <w:iCs w:val="0"/>
        <w:color w:val="FFFEFF" w:themeColor="background1"/>
      </w:rPr>
      <w:tblPr/>
      <w:tcPr>
        <w:tcBorders>
          <w:top w:val="nil"/>
          <w:left w:val="single" w:sz="24" w:space="0" w:color="FFFEFF" w:themeColor="background1"/>
          <w:bottom w:val="nil"/>
          <w:right w:val="nil"/>
          <w:insideH w:val="nil"/>
          <w:insideV w:val="nil"/>
        </w:tcBorders>
        <w:shd w:val="clear" w:color="auto" w:fill="057995" w:themeFill="accent1"/>
      </w:tcPr>
    </w:tblStylePr>
    <w:tblStylePr w:type="band1Vert">
      <w:tblPr/>
      <w:tcPr>
        <w:tc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nil"/>
          <w:insideV w:val="nil"/>
        </w:tcBorders>
        <w:shd w:val="clear" w:color="auto" w:fill="53D8F9" w:themeFill="accent1" w:themeFillTint="7F"/>
      </w:tcPr>
    </w:tblStylePr>
    <w:tblStylePr w:type="band1Horz">
      <w:tblPr/>
      <w:tcPr>
        <w:tc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single" w:sz="8" w:space="0" w:color="FFFEFF" w:themeColor="background1"/>
          <w:insideV w:val="single" w:sz="8" w:space="0" w:color="FFFEFF" w:themeColor="background1"/>
        </w:tcBorders>
        <w:shd w:val="clear" w:color="auto" w:fill="53D8F9" w:themeFill="accent1" w:themeFillTint="7F"/>
      </w:tcPr>
    </w:tblStylePr>
  </w:style>
  <w:style w:type="table" w:styleId="MediumGrid3-Accent2">
    <w:name w:val="Medium Grid 3 Accent 2"/>
    <w:basedOn w:val="TableNormal"/>
    <w:uiPriority w:val="69"/>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single" w:sz="6" w:space="0" w:color="FFFEFF" w:themeColor="background1"/>
        <w:insideV w:val="single" w:sz="6" w:space="0" w:color="FFFEFF" w:themeColor="background1"/>
      </w:tblBorders>
    </w:tblPr>
    <w:tcPr>
      <w:shd w:val="clear" w:color="auto" w:fill="9FD0F5" w:themeFill="accent2" w:themeFillTint="3F"/>
    </w:tcPr>
    <w:tblStylePr w:type="firstRow">
      <w:rPr>
        <w:b/>
        <w:bCs/>
        <w:i w:val="0"/>
        <w:iCs w:val="0"/>
        <w:color w:val="FFFEFF" w:themeColor="background1"/>
      </w:rPr>
      <w:tblPr/>
      <w:tcPr>
        <w:tcBorders>
          <w:top w:val="single" w:sz="8" w:space="0" w:color="FFFEFF" w:themeColor="background1"/>
          <w:left w:val="single" w:sz="8" w:space="0" w:color="FFFEFF" w:themeColor="background1"/>
          <w:bottom w:val="single" w:sz="24" w:space="0" w:color="FFFEFF" w:themeColor="background1"/>
          <w:right w:val="single" w:sz="8" w:space="0" w:color="FFFEFF" w:themeColor="background1"/>
          <w:insideH w:val="nil"/>
          <w:insideV w:val="single" w:sz="8" w:space="0" w:color="FFFEFF" w:themeColor="background1"/>
        </w:tcBorders>
        <w:shd w:val="clear" w:color="auto" w:fill="082F4C" w:themeFill="accent2"/>
      </w:tcPr>
    </w:tblStylePr>
    <w:tblStylePr w:type="lastRow">
      <w:rPr>
        <w:b/>
        <w:bCs/>
        <w:i w:val="0"/>
        <w:iCs w:val="0"/>
        <w:color w:val="FFFEFF" w:themeColor="background1"/>
      </w:rPr>
      <w:tblPr/>
      <w:tcPr>
        <w:tcBorders>
          <w:top w:val="single" w:sz="24" w:space="0" w:color="FFFEFF" w:themeColor="background1"/>
          <w:left w:val="single" w:sz="8" w:space="0" w:color="FFFEFF" w:themeColor="background1"/>
          <w:bottom w:val="single" w:sz="8" w:space="0" w:color="FFFEFF" w:themeColor="background1"/>
          <w:right w:val="single" w:sz="8" w:space="0" w:color="FFFEFF" w:themeColor="background1"/>
          <w:insideH w:val="nil"/>
          <w:insideV w:val="single" w:sz="8" w:space="0" w:color="FFFEFF" w:themeColor="background1"/>
        </w:tcBorders>
        <w:shd w:val="clear" w:color="auto" w:fill="082F4C" w:themeFill="accent2"/>
      </w:tcPr>
    </w:tblStylePr>
    <w:tblStylePr w:type="firstCol">
      <w:rPr>
        <w:b/>
        <w:bCs/>
        <w:i w:val="0"/>
        <w:iCs w:val="0"/>
        <w:color w:val="FFFEFF" w:themeColor="background1"/>
      </w:rPr>
      <w:tblPr/>
      <w:tcPr>
        <w:tcBorders>
          <w:left w:val="single" w:sz="8" w:space="0" w:color="FFFEFF" w:themeColor="background1"/>
          <w:right w:val="single" w:sz="24" w:space="0" w:color="FFFEFF" w:themeColor="background1"/>
          <w:insideH w:val="nil"/>
          <w:insideV w:val="nil"/>
        </w:tcBorders>
        <w:shd w:val="clear" w:color="auto" w:fill="082F4C" w:themeFill="accent2"/>
      </w:tcPr>
    </w:tblStylePr>
    <w:tblStylePr w:type="lastCol">
      <w:rPr>
        <w:b/>
        <w:bCs/>
        <w:i w:val="0"/>
        <w:iCs w:val="0"/>
        <w:color w:val="FFFEFF" w:themeColor="background1"/>
      </w:rPr>
      <w:tblPr/>
      <w:tcPr>
        <w:tcBorders>
          <w:top w:val="nil"/>
          <w:left w:val="single" w:sz="24" w:space="0" w:color="FFFEFF" w:themeColor="background1"/>
          <w:bottom w:val="nil"/>
          <w:right w:val="nil"/>
          <w:insideH w:val="nil"/>
          <w:insideV w:val="nil"/>
        </w:tcBorders>
        <w:shd w:val="clear" w:color="auto" w:fill="082F4C" w:themeFill="accent2"/>
      </w:tcPr>
    </w:tblStylePr>
    <w:tblStylePr w:type="band1Vert">
      <w:tblPr/>
      <w:tcPr>
        <w:tc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nil"/>
          <w:insideV w:val="nil"/>
        </w:tcBorders>
        <w:shd w:val="clear" w:color="auto" w:fill="3EA1EA" w:themeFill="accent2" w:themeFillTint="7F"/>
      </w:tcPr>
    </w:tblStylePr>
    <w:tblStylePr w:type="band1Horz">
      <w:tblPr/>
      <w:tcPr>
        <w:tc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single" w:sz="8" w:space="0" w:color="FFFEFF" w:themeColor="background1"/>
          <w:insideV w:val="single" w:sz="8" w:space="0" w:color="FFFEFF" w:themeColor="background1"/>
        </w:tcBorders>
        <w:shd w:val="clear" w:color="auto" w:fill="3EA1EA" w:themeFill="accent2" w:themeFillTint="7F"/>
      </w:tcPr>
    </w:tblStylePr>
  </w:style>
  <w:style w:type="table" w:styleId="MediumGrid3-Accent3">
    <w:name w:val="Medium Grid 3 Accent 3"/>
    <w:basedOn w:val="TableNormal"/>
    <w:uiPriority w:val="69"/>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single" w:sz="6" w:space="0" w:color="FFFEFF" w:themeColor="background1"/>
        <w:insideV w:val="single" w:sz="6" w:space="0" w:color="FFFEFF" w:themeColor="background1"/>
      </w:tblBorders>
    </w:tblPr>
    <w:tcPr>
      <w:shd w:val="clear" w:color="auto" w:fill="F3BCCE" w:themeFill="accent3" w:themeFillTint="3F"/>
    </w:tcPr>
    <w:tblStylePr w:type="firstRow">
      <w:rPr>
        <w:b/>
        <w:bCs/>
        <w:i w:val="0"/>
        <w:iCs w:val="0"/>
        <w:color w:val="FFFEFF" w:themeColor="background1"/>
      </w:rPr>
      <w:tblPr/>
      <w:tcPr>
        <w:tcBorders>
          <w:top w:val="single" w:sz="8" w:space="0" w:color="FFFEFF" w:themeColor="background1"/>
          <w:left w:val="single" w:sz="8" w:space="0" w:color="FFFEFF" w:themeColor="background1"/>
          <w:bottom w:val="single" w:sz="24" w:space="0" w:color="FFFEFF" w:themeColor="background1"/>
          <w:right w:val="single" w:sz="8" w:space="0" w:color="FFFEFF" w:themeColor="background1"/>
          <w:insideH w:val="nil"/>
          <w:insideV w:val="single" w:sz="8" w:space="0" w:color="FFFEFF" w:themeColor="background1"/>
        </w:tcBorders>
        <w:shd w:val="clear" w:color="auto" w:fill="A31D49" w:themeFill="accent3"/>
      </w:tcPr>
    </w:tblStylePr>
    <w:tblStylePr w:type="lastRow">
      <w:rPr>
        <w:b/>
        <w:bCs/>
        <w:i w:val="0"/>
        <w:iCs w:val="0"/>
        <w:color w:val="FFFEFF" w:themeColor="background1"/>
      </w:rPr>
      <w:tblPr/>
      <w:tcPr>
        <w:tcBorders>
          <w:top w:val="single" w:sz="24" w:space="0" w:color="FFFEFF" w:themeColor="background1"/>
          <w:left w:val="single" w:sz="8" w:space="0" w:color="FFFEFF" w:themeColor="background1"/>
          <w:bottom w:val="single" w:sz="8" w:space="0" w:color="FFFEFF" w:themeColor="background1"/>
          <w:right w:val="single" w:sz="8" w:space="0" w:color="FFFEFF" w:themeColor="background1"/>
          <w:insideH w:val="nil"/>
          <w:insideV w:val="single" w:sz="8" w:space="0" w:color="FFFEFF" w:themeColor="background1"/>
        </w:tcBorders>
        <w:shd w:val="clear" w:color="auto" w:fill="A31D49" w:themeFill="accent3"/>
      </w:tcPr>
    </w:tblStylePr>
    <w:tblStylePr w:type="firstCol">
      <w:rPr>
        <w:b/>
        <w:bCs/>
        <w:i w:val="0"/>
        <w:iCs w:val="0"/>
        <w:color w:val="FFFEFF" w:themeColor="background1"/>
      </w:rPr>
      <w:tblPr/>
      <w:tcPr>
        <w:tcBorders>
          <w:left w:val="single" w:sz="8" w:space="0" w:color="FFFEFF" w:themeColor="background1"/>
          <w:right w:val="single" w:sz="24" w:space="0" w:color="FFFEFF" w:themeColor="background1"/>
          <w:insideH w:val="nil"/>
          <w:insideV w:val="nil"/>
        </w:tcBorders>
        <w:shd w:val="clear" w:color="auto" w:fill="A31D49" w:themeFill="accent3"/>
      </w:tcPr>
    </w:tblStylePr>
    <w:tblStylePr w:type="lastCol">
      <w:rPr>
        <w:b/>
        <w:bCs/>
        <w:i w:val="0"/>
        <w:iCs w:val="0"/>
        <w:color w:val="FFFEFF" w:themeColor="background1"/>
      </w:rPr>
      <w:tblPr/>
      <w:tcPr>
        <w:tcBorders>
          <w:top w:val="nil"/>
          <w:left w:val="single" w:sz="24" w:space="0" w:color="FFFEFF" w:themeColor="background1"/>
          <w:bottom w:val="nil"/>
          <w:right w:val="nil"/>
          <w:insideH w:val="nil"/>
          <w:insideV w:val="nil"/>
        </w:tcBorders>
        <w:shd w:val="clear" w:color="auto" w:fill="A31D49" w:themeFill="accent3"/>
      </w:tcPr>
    </w:tblStylePr>
    <w:tblStylePr w:type="band1Vert">
      <w:tblPr/>
      <w:tcPr>
        <w:tc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nil"/>
          <w:insideV w:val="nil"/>
        </w:tcBorders>
        <w:shd w:val="clear" w:color="auto" w:fill="E7789C" w:themeFill="accent3" w:themeFillTint="7F"/>
      </w:tcPr>
    </w:tblStylePr>
    <w:tblStylePr w:type="band1Horz">
      <w:tblPr/>
      <w:tcPr>
        <w:tc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single" w:sz="8" w:space="0" w:color="FFFEFF" w:themeColor="background1"/>
          <w:insideV w:val="single" w:sz="8" w:space="0" w:color="FFFEFF" w:themeColor="background1"/>
        </w:tcBorders>
        <w:shd w:val="clear" w:color="auto" w:fill="E7789C" w:themeFill="accent3" w:themeFillTint="7F"/>
      </w:tcPr>
    </w:tblStylePr>
  </w:style>
  <w:style w:type="table" w:styleId="MediumGrid3-Accent4">
    <w:name w:val="Medium Grid 3 Accent 4"/>
    <w:basedOn w:val="TableNormal"/>
    <w:uiPriority w:val="69"/>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single" w:sz="6" w:space="0" w:color="FFFEFF" w:themeColor="background1"/>
        <w:insideV w:val="single" w:sz="6" w:space="0" w:color="FFFEFF" w:themeColor="background1"/>
      </w:tblBorders>
    </w:tblPr>
    <w:tcPr>
      <w:shd w:val="clear" w:color="auto" w:fill="F2F0ED" w:themeFill="accent4" w:themeFillTint="3F"/>
    </w:tcPr>
    <w:tblStylePr w:type="firstRow">
      <w:rPr>
        <w:b/>
        <w:bCs/>
        <w:i w:val="0"/>
        <w:iCs w:val="0"/>
        <w:color w:val="FFFEFF" w:themeColor="background1"/>
      </w:rPr>
      <w:tblPr/>
      <w:tcPr>
        <w:tcBorders>
          <w:top w:val="single" w:sz="8" w:space="0" w:color="FFFEFF" w:themeColor="background1"/>
          <w:left w:val="single" w:sz="8" w:space="0" w:color="FFFEFF" w:themeColor="background1"/>
          <w:bottom w:val="single" w:sz="24" w:space="0" w:color="FFFEFF" w:themeColor="background1"/>
          <w:right w:val="single" w:sz="8" w:space="0" w:color="FFFEFF" w:themeColor="background1"/>
          <w:insideH w:val="nil"/>
          <w:insideV w:val="single" w:sz="8" w:space="0" w:color="FFFEFF" w:themeColor="background1"/>
        </w:tcBorders>
        <w:shd w:val="clear" w:color="auto" w:fill="CEC5BA" w:themeFill="accent4"/>
      </w:tcPr>
    </w:tblStylePr>
    <w:tblStylePr w:type="lastRow">
      <w:rPr>
        <w:b/>
        <w:bCs/>
        <w:i w:val="0"/>
        <w:iCs w:val="0"/>
        <w:color w:val="FFFEFF" w:themeColor="background1"/>
      </w:rPr>
      <w:tblPr/>
      <w:tcPr>
        <w:tcBorders>
          <w:top w:val="single" w:sz="24" w:space="0" w:color="FFFEFF" w:themeColor="background1"/>
          <w:left w:val="single" w:sz="8" w:space="0" w:color="FFFEFF" w:themeColor="background1"/>
          <w:bottom w:val="single" w:sz="8" w:space="0" w:color="FFFEFF" w:themeColor="background1"/>
          <w:right w:val="single" w:sz="8" w:space="0" w:color="FFFEFF" w:themeColor="background1"/>
          <w:insideH w:val="nil"/>
          <w:insideV w:val="single" w:sz="8" w:space="0" w:color="FFFEFF" w:themeColor="background1"/>
        </w:tcBorders>
        <w:shd w:val="clear" w:color="auto" w:fill="CEC5BA" w:themeFill="accent4"/>
      </w:tcPr>
    </w:tblStylePr>
    <w:tblStylePr w:type="firstCol">
      <w:rPr>
        <w:b/>
        <w:bCs/>
        <w:i w:val="0"/>
        <w:iCs w:val="0"/>
        <w:color w:val="FFFEFF" w:themeColor="background1"/>
      </w:rPr>
      <w:tblPr/>
      <w:tcPr>
        <w:tcBorders>
          <w:left w:val="single" w:sz="8" w:space="0" w:color="FFFEFF" w:themeColor="background1"/>
          <w:right w:val="single" w:sz="24" w:space="0" w:color="FFFEFF" w:themeColor="background1"/>
          <w:insideH w:val="nil"/>
          <w:insideV w:val="nil"/>
        </w:tcBorders>
        <w:shd w:val="clear" w:color="auto" w:fill="CEC5BA" w:themeFill="accent4"/>
      </w:tcPr>
    </w:tblStylePr>
    <w:tblStylePr w:type="lastCol">
      <w:rPr>
        <w:b/>
        <w:bCs/>
        <w:i w:val="0"/>
        <w:iCs w:val="0"/>
        <w:color w:val="FFFEFF" w:themeColor="background1"/>
      </w:rPr>
      <w:tblPr/>
      <w:tcPr>
        <w:tcBorders>
          <w:top w:val="nil"/>
          <w:left w:val="single" w:sz="24" w:space="0" w:color="FFFEFF" w:themeColor="background1"/>
          <w:bottom w:val="nil"/>
          <w:right w:val="nil"/>
          <w:insideH w:val="nil"/>
          <w:insideV w:val="nil"/>
        </w:tcBorders>
        <w:shd w:val="clear" w:color="auto" w:fill="CEC5BA" w:themeFill="accent4"/>
      </w:tcPr>
    </w:tblStylePr>
    <w:tblStylePr w:type="band1Vert">
      <w:tblPr/>
      <w:tcPr>
        <w:tc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nil"/>
          <w:insideV w:val="nil"/>
        </w:tcBorders>
        <w:shd w:val="clear" w:color="auto" w:fill="E6E1DC" w:themeFill="accent4" w:themeFillTint="7F"/>
      </w:tcPr>
    </w:tblStylePr>
    <w:tblStylePr w:type="band1Horz">
      <w:tblPr/>
      <w:tcPr>
        <w:tc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single" w:sz="8" w:space="0" w:color="FFFEFF" w:themeColor="background1"/>
          <w:insideV w:val="single" w:sz="8" w:space="0" w:color="FFFEFF" w:themeColor="background1"/>
        </w:tcBorders>
        <w:shd w:val="clear" w:color="auto" w:fill="E6E1DC" w:themeFill="accent4" w:themeFillTint="7F"/>
      </w:tcPr>
    </w:tblStylePr>
  </w:style>
  <w:style w:type="table" w:styleId="MediumGrid3-Accent5">
    <w:name w:val="Medium Grid 3 Accent 5"/>
    <w:basedOn w:val="TableNormal"/>
    <w:uiPriority w:val="69"/>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single" w:sz="6" w:space="0" w:color="FFFEFF" w:themeColor="background1"/>
        <w:insideV w:val="single" w:sz="6" w:space="0" w:color="FFFEFF" w:themeColor="background1"/>
      </w:tblBorders>
    </w:tblPr>
    <w:tcPr>
      <w:shd w:val="clear" w:color="auto" w:fill="A9ECFC" w:themeFill="accent5" w:themeFillTint="3F"/>
    </w:tcPr>
    <w:tblStylePr w:type="firstRow">
      <w:rPr>
        <w:b/>
        <w:bCs/>
        <w:i w:val="0"/>
        <w:iCs w:val="0"/>
        <w:color w:val="FFFEFF" w:themeColor="background1"/>
      </w:rPr>
      <w:tblPr/>
      <w:tcPr>
        <w:tcBorders>
          <w:top w:val="single" w:sz="8" w:space="0" w:color="FFFEFF" w:themeColor="background1"/>
          <w:left w:val="single" w:sz="8" w:space="0" w:color="FFFEFF" w:themeColor="background1"/>
          <w:bottom w:val="single" w:sz="24" w:space="0" w:color="FFFEFF" w:themeColor="background1"/>
          <w:right w:val="single" w:sz="8" w:space="0" w:color="FFFEFF" w:themeColor="background1"/>
          <w:insideH w:val="nil"/>
          <w:insideV w:val="single" w:sz="8" w:space="0" w:color="FFFEFF" w:themeColor="background1"/>
        </w:tcBorders>
        <w:shd w:val="clear" w:color="auto" w:fill="057995" w:themeFill="accent5"/>
      </w:tcPr>
    </w:tblStylePr>
    <w:tblStylePr w:type="lastRow">
      <w:rPr>
        <w:b/>
        <w:bCs/>
        <w:i w:val="0"/>
        <w:iCs w:val="0"/>
        <w:color w:val="FFFEFF" w:themeColor="background1"/>
      </w:rPr>
      <w:tblPr/>
      <w:tcPr>
        <w:tcBorders>
          <w:top w:val="single" w:sz="24" w:space="0" w:color="FFFEFF" w:themeColor="background1"/>
          <w:left w:val="single" w:sz="8" w:space="0" w:color="FFFEFF" w:themeColor="background1"/>
          <w:bottom w:val="single" w:sz="8" w:space="0" w:color="FFFEFF" w:themeColor="background1"/>
          <w:right w:val="single" w:sz="8" w:space="0" w:color="FFFEFF" w:themeColor="background1"/>
          <w:insideH w:val="nil"/>
          <w:insideV w:val="single" w:sz="8" w:space="0" w:color="FFFEFF" w:themeColor="background1"/>
        </w:tcBorders>
        <w:shd w:val="clear" w:color="auto" w:fill="057995" w:themeFill="accent5"/>
      </w:tcPr>
    </w:tblStylePr>
    <w:tblStylePr w:type="firstCol">
      <w:rPr>
        <w:b/>
        <w:bCs/>
        <w:i w:val="0"/>
        <w:iCs w:val="0"/>
        <w:color w:val="FFFEFF" w:themeColor="background1"/>
      </w:rPr>
      <w:tblPr/>
      <w:tcPr>
        <w:tcBorders>
          <w:left w:val="single" w:sz="8" w:space="0" w:color="FFFEFF" w:themeColor="background1"/>
          <w:right w:val="single" w:sz="24" w:space="0" w:color="FFFEFF" w:themeColor="background1"/>
          <w:insideH w:val="nil"/>
          <w:insideV w:val="nil"/>
        </w:tcBorders>
        <w:shd w:val="clear" w:color="auto" w:fill="057995" w:themeFill="accent5"/>
      </w:tcPr>
    </w:tblStylePr>
    <w:tblStylePr w:type="lastCol">
      <w:rPr>
        <w:b/>
        <w:bCs/>
        <w:i w:val="0"/>
        <w:iCs w:val="0"/>
        <w:color w:val="FFFEFF" w:themeColor="background1"/>
      </w:rPr>
      <w:tblPr/>
      <w:tcPr>
        <w:tcBorders>
          <w:top w:val="nil"/>
          <w:left w:val="single" w:sz="24" w:space="0" w:color="FFFEFF" w:themeColor="background1"/>
          <w:bottom w:val="nil"/>
          <w:right w:val="nil"/>
          <w:insideH w:val="nil"/>
          <w:insideV w:val="nil"/>
        </w:tcBorders>
        <w:shd w:val="clear" w:color="auto" w:fill="057995" w:themeFill="accent5"/>
      </w:tcPr>
    </w:tblStylePr>
    <w:tblStylePr w:type="band1Vert">
      <w:tblPr/>
      <w:tcPr>
        <w:tc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nil"/>
          <w:insideV w:val="nil"/>
        </w:tcBorders>
        <w:shd w:val="clear" w:color="auto" w:fill="53D8F9" w:themeFill="accent5" w:themeFillTint="7F"/>
      </w:tcPr>
    </w:tblStylePr>
    <w:tblStylePr w:type="band1Horz">
      <w:tblPr/>
      <w:tcPr>
        <w:tc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single" w:sz="8" w:space="0" w:color="FFFEFF" w:themeColor="background1"/>
          <w:insideV w:val="single" w:sz="8" w:space="0" w:color="FFFEFF" w:themeColor="background1"/>
        </w:tcBorders>
        <w:shd w:val="clear" w:color="auto" w:fill="53D8F9" w:themeFill="accent5" w:themeFillTint="7F"/>
      </w:tcPr>
    </w:tblStylePr>
  </w:style>
  <w:style w:type="table" w:styleId="MediumGrid3-Accent6">
    <w:name w:val="Medium Grid 3 Accent 6"/>
    <w:basedOn w:val="TableNormal"/>
    <w:uiPriority w:val="69"/>
    <w:rsid w:val="00B84943"/>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single" w:sz="6" w:space="0" w:color="FFFEFF" w:themeColor="background1"/>
        <w:insideV w:val="single" w:sz="6" w:space="0" w:color="FFFEFF" w:themeColor="background1"/>
      </w:tblBorders>
    </w:tblPr>
    <w:tcPr>
      <w:shd w:val="clear" w:color="auto" w:fill="9FD0F5" w:themeFill="accent6" w:themeFillTint="3F"/>
    </w:tcPr>
    <w:tblStylePr w:type="firstRow">
      <w:rPr>
        <w:b/>
        <w:bCs/>
        <w:i w:val="0"/>
        <w:iCs w:val="0"/>
        <w:color w:val="FFFEFF" w:themeColor="background1"/>
      </w:rPr>
      <w:tblPr/>
      <w:tcPr>
        <w:tcBorders>
          <w:top w:val="single" w:sz="8" w:space="0" w:color="FFFEFF" w:themeColor="background1"/>
          <w:left w:val="single" w:sz="8" w:space="0" w:color="FFFEFF" w:themeColor="background1"/>
          <w:bottom w:val="single" w:sz="24" w:space="0" w:color="FFFEFF" w:themeColor="background1"/>
          <w:right w:val="single" w:sz="8" w:space="0" w:color="FFFEFF" w:themeColor="background1"/>
          <w:insideH w:val="nil"/>
          <w:insideV w:val="single" w:sz="8" w:space="0" w:color="FFFEFF" w:themeColor="background1"/>
        </w:tcBorders>
        <w:shd w:val="clear" w:color="auto" w:fill="082F4C" w:themeFill="accent6"/>
      </w:tcPr>
    </w:tblStylePr>
    <w:tblStylePr w:type="lastRow">
      <w:rPr>
        <w:b/>
        <w:bCs/>
        <w:i w:val="0"/>
        <w:iCs w:val="0"/>
        <w:color w:val="FFFEFF" w:themeColor="background1"/>
      </w:rPr>
      <w:tblPr/>
      <w:tcPr>
        <w:tcBorders>
          <w:top w:val="single" w:sz="24" w:space="0" w:color="FFFEFF" w:themeColor="background1"/>
          <w:left w:val="single" w:sz="8" w:space="0" w:color="FFFEFF" w:themeColor="background1"/>
          <w:bottom w:val="single" w:sz="8" w:space="0" w:color="FFFEFF" w:themeColor="background1"/>
          <w:right w:val="single" w:sz="8" w:space="0" w:color="FFFEFF" w:themeColor="background1"/>
          <w:insideH w:val="nil"/>
          <w:insideV w:val="single" w:sz="8" w:space="0" w:color="FFFEFF" w:themeColor="background1"/>
        </w:tcBorders>
        <w:shd w:val="clear" w:color="auto" w:fill="082F4C" w:themeFill="accent6"/>
      </w:tcPr>
    </w:tblStylePr>
    <w:tblStylePr w:type="firstCol">
      <w:rPr>
        <w:b/>
        <w:bCs/>
        <w:i w:val="0"/>
        <w:iCs w:val="0"/>
        <w:color w:val="FFFEFF" w:themeColor="background1"/>
      </w:rPr>
      <w:tblPr/>
      <w:tcPr>
        <w:tcBorders>
          <w:left w:val="single" w:sz="8" w:space="0" w:color="FFFEFF" w:themeColor="background1"/>
          <w:right w:val="single" w:sz="24" w:space="0" w:color="FFFEFF" w:themeColor="background1"/>
          <w:insideH w:val="nil"/>
          <w:insideV w:val="nil"/>
        </w:tcBorders>
        <w:shd w:val="clear" w:color="auto" w:fill="082F4C" w:themeFill="accent6"/>
      </w:tcPr>
    </w:tblStylePr>
    <w:tblStylePr w:type="lastCol">
      <w:rPr>
        <w:b/>
        <w:bCs/>
        <w:i w:val="0"/>
        <w:iCs w:val="0"/>
        <w:color w:val="FFFEFF" w:themeColor="background1"/>
      </w:rPr>
      <w:tblPr/>
      <w:tcPr>
        <w:tcBorders>
          <w:top w:val="nil"/>
          <w:left w:val="single" w:sz="24" w:space="0" w:color="FFFEFF" w:themeColor="background1"/>
          <w:bottom w:val="nil"/>
          <w:right w:val="nil"/>
          <w:insideH w:val="nil"/>
          <w:insideV w:val="nil"/>
        </w:tcBorders>
        <w:shd w:val="clear" w:color="auto" w:fill="082F4C" w:themeFill="accent6"/>
      </w:tcPr>
    </w:tblStylePr>
    <w:tblStylePr w:type="band1Vert">
      <w:tblPr/>
      <w:tcPr>
        <w:tc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nil"/>
          <w:insideV w:val="nil"/>
        </w:tcBorders>
        <w:shd w:val="clear" w:color="auto" w:fill="3EA1EA" w:themeFill="accent6" w:themeFillTint="7F"/>
      </w:tcPr>
    </w:tblStylePr>
    <w:tblStylePr w:type="band1Horz">
      <w:tblPr/>
      <w:tcPr>
        <w:tcBorders>
          <w:top w:val="single" w:sz="8" w:space="0" w:color="FFFEFF" w:themeColor="background1"/>
          <w:left w:val="single" w:sz="8" w:space="0" w:color="FFFEFF" w:themeColor="background1"/>
          <w:bottom w:val="single" w:sz="8" w:space="0" w:color="FFFEFF" w:themeColor="background1"/>
          <w:right w:val="single" w:sz="8" w:space="0" w:color="FFFEFF" w:themeColor="background1"/>
          <w:insideH w:val="single" w:sz="8" w:space="0" w:color="FFFEFF" w:themeColor="background1"/>
          <w:insideV w:val="single" w:sz="8" w:space="0" w:color="FFFEFF" w:themeColor="background1"/>
        </w:tcBorders>
        <w:shd w:val="clear" w:color="auto" w:fill="3EA1EA" w:themeFill="accent6" w:themeFillTint="7F"/>
      </w:tcPr>
    </w:tblStylePr>
  </w:style>
  <w:style w:type="table" w:styleId="DarkList">
    <w:name w:val="Dark List"/>
    <w:basedOn w:val="TableNormal"/>
    <w:uiPriority w:val="70"/>
    <w:rsid w:val="00B84943"/>
    <w:pPr>
      <w:spacing w:after="0" w:line="240" w:lineRule="auto"/>
    </w:pPr>
    <w:rPr>
      <w:rFonts w:eastAsiaTheme="minorEastAsia"/>
      <w:color w:val="FFFEFF" w:themeColor="background1"/>
      <w:kern w:val="0"/>
      <w:sz w:val="22"/>
      <w:szCs w:val="22"/>
      <w:lang w:val="en-US"/>
      <w14:ligatures w14:val="none"/>
    </w:rPr>
    <w:tblPr>
      <w:tblStyleRowBandSize w:val="1"/>
      <w:tblStyleColBandSize w:val="1"/>
    </w:tblPr>
    <w:tcPr>
      <w:shd w:val="clear" w:color="auto" w:fill="057995" w:themeFill="text1"/>
    </w:tcPr>
    <w:tblStylePr w:type="firstRow">
      <w:rPr>
        <w:b/>
        <w:bCs/>
      </w:rPr>
      <w:tblPr/>
      <w:tcPr>
        <w:tcBorders>
          <w:top w:val="nil"/>
          <w:left w:val="nil"/>
          <w:bottom w:val="single" w:sz="18" w:space="0" w:color="FFFEFF" w:themeColor="background1"/>
          <w:right w:val="nil"/>
          <w:insideH w:val="nil"/>
          <w:insideV w:val="nil"/>
        </w:tcBorders>
        <w:shd w:val="clear" w:color="auto" w:fill="057995" w:themeFill="text1"/>
      </w:tcPr>
    </w:tblStylePr>
    <w:tblStylePr w:type="lastRow">
      <w:tblPr/>
      <w:tcPr>
        <w:tcBorders>
          <w:top w:val="single" w:sz="18" w:space="0" w:color="FFFEFF" w:themeColor="background1"/>
          <w:left w:val="nil"/>
          <w:bottom w:val="nil"/>
          <w:right w:val="nil"/>
          <w:insideH w:val="nil"/>
          <w:insideV w:val="nil"/>
        </w:tcBorders>
        <w:shd w:val="clear" w:color="auto" w:fill="023C4A" w:themeFill="text1" w:themeFillShade="7F"/>
      </w:tcPr>
    </w:tblStylePr>
    <w:tblStylePr w:type="firstCol">
      <w:tblPr/>
      <w:tcPr>
        <w:tcBorders>
          <w:top w:val="nil"/>
          <w:left w:val="nil"/>
          <w:bottom w:val="nil"/>
          <w:right w:val="single" w:sz="18" w:space="0" w:color="FFFEFF" w:themeColor="background1"/>
          <w:insideH w:val="nil"/>
          <w:insideV w:val="nil"/>
        </w:tcBorders>
        <w:shd w:val="clear" w:color="auto" w:fill="035A6F" w:themeFill="text1" w:themeFillShade="BF"/>
      </w:tcPr>
    </w:tblStylePr>
    <w:tblStylePr w:type="lastCol">
      <w:tblPr/>
      <w:tcPr>
        <w:tcBorders>
          <w:top w:val="nil"/>
          <w:left w:val="single" w:sz="18" w:space="0" w:color="FFFEFF" w:themeColor="background1"/>
          <w:bottom w:val="nil"/>
          <w:right w:val="nil"/>
          <w:insideH w:val="nil"/>
          <w:insideV w:val="nil"/>
        </w:tcBorders>
        <w:shd w:val="clear" w:color="auto" w:fill="035A6F" w:themeFill="text1" w:themeFillShade="BF"/>
      </w:tcPr>
    </w:tblStylePr>
    <w:tblStylePr w:type="band1Vert">
      <w:tblPr/>
      <w:tcPr>
        <w:tcBorders>
          <w:top w:val="nil"/>
          <w:left w:val="nil"/>
          <w:bottom w:val="nil"/>
          <w:right w:val="nil"/>
          <w:insideH w:val="nil"/>
          <w:insideV w:val="nil"/>
        </w:tcBorders>
        <w:shd w:val="clear" w:color="auto" w:fill="035A6F" w:themeFill="text1" w:themeFillShade="BF"/>
      </w:tcPr>
    </w:tblStylePr>
    <w:tblStylePr w:type="band1Horz">
      <w:tblPr/>
      <w:tcPr>
        <w:tcBorders>
          <w:top w:val="nil"/>
          <w:left w:val="nil"/>
          <w:bottom w:val="nil"/>
          <w:right w:val="nil"/>
          <w:insideH w:val="nil"/>
          <w:insideV w:val="nil"/>
        </w:tcBorders>
        <w:shd w:val="clear" w:color="auto" w:fill="035A6F" w:themeFill="text1" w:themeFillShade="BF"/>
      </w:tcPr>
    </w:tblStylePr>
  </w:style>
  <w:style w:type="table" w:styleId="DarkList-Accent1">
    <w:name w:val="Dark List Accent 1"/>
    <w:basedOn w:val="TableNormal"/>
    <w:uiPriority w:val="70"/>
    <w:rsid w:val="00B84943"/>
    <w:pPr>
      <w:spacing w:after="0" w:line="240" w:lineRule="auto"/>
    </w:pPr>
    <w:rPr>
      <w:rFonts w:eastAsiaTheme="minorEastAsia"/>
      <w:color w:val="FFFEFF" w:themeColor="background1"/>
      <w:kern w:val="0"/>
      <w:sz w:val="22"/>
      <w:szCs w:val="22"/>
      <w:lang w:val="en-US"/>
      <w14:ligatures w14:val="none"/>
    </w:rPr>
    <w:tblPr>
      <w:tblStyleRowBandSize w:val="1"/>
      <w:tblStyleColBandSize w:val="1"/>
    </w:tblPr>
    <w:tcPr>
      <w:shd w:val="clear" w:color="auto" w:fill="057995" w:themeFill="accent1"/>
    </w:tcPr>
    <w:tblStylePr w:type="firstRow">
      <w:rPr>
        <w:b/>
        <w:bCs/>
      </w:rPr>
      <w:tblPr/>
      <w:tcPr>
        <w:tcBorders>
          <w:top w:val="nil"/>
          <w:left w:val="nil"/>
          <w:bottom w:val="single" w:sz="18" w:space="0" w:color="FFFEFF" w:themeColor="background1"/>
          <w:right w:val="nil"/>
          <w:insideH w:val="nil"/>
          <w:insideV w:val="nil"/>
        </w:tcBorders>
        <w:shd w:val="clear" w:color="auto" w:fill="057995" w:themeFill="text1"/>
      </w:tcPr>
    </w:tblStylePr>
    <w:tblStylePr w:type="lastRow">
      <w:tblPr/>
      <w:tcPr>
        <w:tcBorders>
          <w:top w:val="single" w:sz="18" w:space="0" w:color="FFFEFF" w:themeColor="background1"/>
          <w:left w:val="nil"/>
          <w:bottom w:val="nil"/>
          <w:right w:val="nil"/>
          <w:insideH w:val="nil"/>
          <w:insideV w:val="nil"/>
        </w:tcBorders>
        <w:shd w:val="clear" w:color="auto" w:fill="023C4A" w:themeFill="accent1" w:themeFillShade="7F"/>
      </w:tcPr>
    </w:tblStylePr>
    <w:tblStylePr w:type="firstCol">
      <w:tblPr/>
      <w:tcPr>
        <w:tcBorders>
          <w:top w:val="nil"/>
          <w:left w:val="nil"/>
          <w:bottom w:val="nil"/>
          <w:right w:val="single" w:sz="18" w:space="0" w:color="FFFEFF" w:themeColor="background1"/>
          <w:insideH w:val="nil"/>
          <w:insideV w:val="nil"/>
        </w:tcBorders>
        <w:shd w:val="clear" w:color="auto" w:fill="035A6F" w:themeFill="accent1" w:themeFillShade="BF"/>
      </w:tcPr>
    </w:tblStylePr>
    <w:tblStylePr w:type="lastCol">
      <w:tblPr/>
      <w:tcPr>
        <w:tcBorders>
          <w:top w:val="nil"/>
          <w:left w:val="single" w:sz="18" w:space="0" w:color="FFFEFF" w:themeColor="background1"/>
          <w:bottom w:val="nil"/>
          <w:right w:val="nil"/>
          <w:insideH w:val="nil"/>
          <w:insideV w:val="nil"/>
        </w:tcBorders>
        <w:shd w:val="clear" w:color="auto" w:fill="035A6F" w:themeFill="accent1" w:themeFillShade="BF"/>
      </w:tcPr>
    </w:tblStylePr>
    <w:tblStylePr w:type="band1Vert">
      <w:tblPr/>
      <w:tcPr>
        <w:tcBorders>
          <w:top w:val="nil"/>
          <w:left w:val="nil"/>
          <w:bottom w:val="nil"/>
          <w:right w:val="nil"/>
          <w:insideH w:val="nil"/>
          <w:insideV w:val="nil"/>
        </w:tcBorders>
        <w:shd w:val="clear" w:color="auto" w:fill="035A6F" w:themeFill="accent1" w:themeFillShade="BF"/>
      </w:tcPr>
    </w:tblStylePr>
    <w:tblStylePr w:type="band1Horz">
      <w:tblPr/>
      <w:tcPr>
        <w:tcBorders>
          <w:top w:val="nil"/>
          <w:left w:val="nil"/>
          <w:bottom w:val="nil"/>
          <w:right w:val="nil"/>
          <w:insideH w:val="nil"/>
          <w:insideV w:val="nil"/>
        </w:tcBorders>
        <w:shd w:val="clear" w:color="auto" w:fill="035A6F" w:themeFill="accent1" w:themeFillShade="BF"/>
      </w:tcPr>
    </w:tblStylePr>
  </w:style>
  <w:style w:type="table" w:styleId="DarkList-Accent2">
    <w:name w:val="Dark List Accent 2"/>
    <w:basedOn w:val="TableNormal"/>
    <w:uiPriority w:val="70"/>
    <w:rsid w:val="00B84943"/>
    <w:pPr>
      <w:spacing w:after="0" w:line="240" w:lineRule="auto"/>
    </w:pPr>
    <w:rPr>
      <w:rFonts w:eastAsiaTheme="minorEastAsia"/>
      <w:color w:val="FFFEFF" w:themeColor="background1"/>
      <w:kern w:val="0"/>
      <w:sz w:val="22"/>
      <w:szCs w:val="22"/>
      <w:lang w:val="en-US"/>
      <w14:ligatures w14:val="none"/>
    </w:rPr>
    <w:tblPr>
      <w:tblStyleRowBandSize w:val="1"/>
      <w:tblStyleColBandSize w:val="1"/>
    </w:tblPr>
    <w:tcPr>
      <w:shd w:val="clear" w:color="auto" w:fill="082F4C" w:themeFill="accent2"/>
    </w:tcPr>
    <w:tblStylePr w:type="firstRow">
      <w:rPr>
        <w:b/>
        <w:bCs/>
      </w:rPr>
      <w:tblPr/>
      <w:tcPr>
        <w:tcBorders>
          <w:top w:val="nil"/>
          <w:left w:val="nil"/>
          <w:bottom w:val="single" w:sz="18" w:space="0" w:color="FFFEFF" w:themeColor="background1"/>
          <w:right w:val="nil"/>
          <w:insideH w:val="nil"/>
          <w:insideV w:val="nil"/>
        </w:tcBorders>
        <w:shd w:val="clear" w:color="auto" w:fill="057995" w:themeFill="text1"/>
      </w:tcPr>
    </w:tblStylePr>
    <w:tblStylePr w:type="lastRow">
      <w:tblPr/>
      <w:tcPr>
        <w:tcBorders>
          <w:top w:val="single" w:sz="18" w:space="0" w:color="FFFEFF" w:themeColor="background1"/>
          <w:left w:val="nil"/>
          <w:bottom w:val="nil"/>
          <w:right w:val="nil"/>
          <w:insideH w:val="nil"/>
          <w:insideV w:val="nil"/>
        </w:tcBorders>
        <w:shd w:val="clear" w:color="auto" w:fill="041725" w:themeFill="accent2" w:themeFillShade="7F"/>
      </w:tcPr>
    </w:tblStylePr>
    <w:tblStylePr w:type="firstCol">
      <w:tblPr/>
      <w:tcPr>
        <w:tcBorders>
          <w:top w:val="nil"/>
          <w:left w:val="nil"/>
          <w:bottom w:val="nil"/>
          <w:right w:val="single" w:sz="18" w:space="0" w:color="FFFEFF" w:themeColor="background1"/>
          <w:insideH w:val="nil"/>
          <w:insideV w:val="nil"/>
        </w:tcBorders>
        <w:shd w:val="clear" w:color="auto" w:fill="062338" w:themeFill="accent2" w:themeFillShade="BF"/>
      </w:tcPr>
    </w:tblStylePr>
    <w:tblStylePr w:type="lastCol">
      <w:tblPr/>
      <w:tcPr>
        <w:tcBorders>
          <w:top w:val="nil"/>
          <w:left w:val="single" w:sz="18" w:space="0" w:color="FFFEFF" w:themeColor="background1"/>
          <w:bottom w:val="nil"/>
          <w:right w:val="nil"/>
          <w:insideH w:val="nil"/>
          <w:insideV w:val="nil"/>
        </w:tcBorders>
        <w:shd w:val="clear" w:color="auto" w:fill="062338" w:themeFill="accent2" w:themeFillShade="BF"/>
      </w:tcPr>
    </w:tblStylePr>
    <w:tblStylePr w:type="band1Vert">
      <w:tblPr/>
      <w:tcPr>
        <w:tcBorders>
          <w:top w:val="nil"/>
          <w:left w:val="nil"/>
          <w:bottom w:val="nil"/>
          <w:right w:val="nil"/>
          <w:insideH w:val="nil"/>
          <w:insideV w:val="nil"/>
        </w:tcBorders>
        <w:shd w:val="clear" w:color="auto" w:fill="062338" w:themeFill="accent2" w:themeFillShade="BF"/>
      </w:tcPr>
    </w:tblStylePr>
    <w:tblStylePr w:type="band1Horz">
      <w:tblPr/>
      <w:tcPr>
        <w:tcBorders>
          <w:top w:val="nil"/>
          <w:left w:val="nil"/>
          <w:bottom w:val="nil"/>
          <w:right w:val="nil"/>
          <w:insideH w:val="nil"/>
          <w:insideV w:val="nil"/>
        </w:tcBorders>
        <w:shd w:val="clear" w:color="auto" w:fill="062338" w:themeFill="accent2" w:themeFillShade="BF"/>
      </w:tcPr>
    </w:tblStylePr>
  </w:style>
  <w:style w:type="table" w:styleId="DarkList-Accent3">
    <w:name w:val="Dark List Accent 3"/>
    <w:basedOn w:val="TableNormal"/>
    <w:uiPriority w:val="70"/>
    <w:rsid w:val="00B84943"/>
    <w:pPr>
      <w:spacing w:after="0" w:line="240" w:lineRule="auto"/>
    </w:pPr>
    <w:rPr>
      <w:rFonts w:eastAsiaTheme="minorEastAsia"/>
      <w:color w:val="FFFEFF" w:themeColor="background1"/>
      <w:kern w:val="0"/>
      <w:sz w:val="22"/>
      <w:szCs w:val="22"/>
      <w:lang w:val="en-US"/>
      <w14:ligatures w14:val="none"/>
    </w:rPr>
    <w:tblPr>
      <w:tblStyleRowBandSize w:val="1"/>
      <w:tblStyleColBandSize w:val="1"/>
    </w:tblPr>
    <w:tcPr>
      <w:shd w:val="clear" w:color="auto" w:fill="A31D49" w:themeFill="accent3"/>
    </w:tcPr>
    <w:tblStylePr w:type="firstRow">
      <w:rPr>
        <w:b/>
        <w:bCs/>
      </w:rPr>
      <w:tblPr/>
      <w:tcPr>
        <w:tcBorders>
          <w:top w:val="nil"/>
          <w:left w:val="nil"/>
          <w:bottom w:val="single" w:sz="18" w:space="0" w:color="FFFEFF" w:themeColor="background1"/>
          <w:right w:val="nil"/>
          <w:insideH w:val="nil"/>
          <w:insideV w:val="nil"/>
        </w:tcBorders>
        <w:shd w:val="clear" w:color="auto" w:fill="057995" w:themeFill="text1"/>
      </w:tcPr>
    </w:tblStylePr>
    <w:tblStylePr w:type="lastRow">
      <w:tblPr/>
      <w:tcPr>
        <w:tcBorders>
          <w:top w:val="single" w:sz="18" w:space="0" w:color="FFFEFF" w:themeColor="background1"/>
          <w:left w:val="nil"/>
          <w:bottom w:val="nil"/>
          <w:right w:val="nil"/>
          <w:insideH w:val="nil"/>
          <w:insideV w:val="nil"/>
        </w:tcBorders>
        <w:shd w:val="clear" w:color="auto" w:fill="500E24" w:themeFill="accent3" w:themeFillShade="7F"/>
      </w:tcPr>
    </w:tblStylePr>
    <w:tblStylePr w:type="firstCol">
      <w:tblPr/>
      <w:tcPr>
        <w:tcBorders>
          <w:top w:val="nil"/>
          <w:left w:val="nil"/>
          <w:bottom w:val="nil"/>
          <w:right w:val="single" w:sz="18" w:space="0" w:color="FFFEFF" w:themeColor="background1"/>
          <w:insideH w:val="nil"/>
          <w:insideV w:val="nil"/>
        </w:tcBorders>
        <w:shd w:val="clear" w:color="auto" w:fill="791536" w:themeFill="accent3" w:themeFillShade="BF"/>
      </w:tcPr>
    </w:tblStylePr>
    <w:tblStylePr w:type="lastCol">
      <w:tblPr/>
      <w:tcPr>
        <w:tcBorders>
          <w:top w:val="nil"/>
          <w:left w:val="single" w:sz="18" w:space="0" w:color="FFFEFF" w:themeColor="background1"/>
          <w:bottom w:val="nil"/>
          <w:right w:val="nil"/>
          <w:insideH w:val="nil"/>
          <w:insideV w:val="nil"/>
        </w:tcBorders>
        <w:shd w:val="clear" w:color="auto" w:fill="791536" w:themeFill="accent3" w:themeFillShade="BF"/>
      </w:tcPr>
    </w:tblStylePr>
    <w:tblStylePr w:type="band1Vert">
      <w:tblPr/>
      <w:tcPr>
        <w:tcBorders>
          <w:top w:val="nil"/>
          <w:left w:val="nil"/>
          <w:bottom w:val="nil"/>
          <w:right w:val="nil"/>
          <w:insideH w:val="nil"/>
          <w:insideV w:val="nil"/>
        </w:tcBorders>
        <w:shd w:val="clear" w:color="auto" w:fill="791536" w:themeFill="accent3" w:themeFillShade="BF"/>
      </w:tcPr>
    </w:tblStylePr>
    <w:tblStylePr w:type="band1Horz">
      <w:tblPr/>
      <w:tcPr>
        <w:tcBorders>
          <w:top w:val="nil"/>
          <w:left w:val="nil"/>
          <w:bottom w:val="nil"/>
          <w:right w:val="nil"/>
          <w:insideH w:val="nil"/>
          <w:insideV w:val="nil"/>
        </w:tcBorders>
        <w:shd w:val="clear" w:color="auto" w:fill="791536" w:themeFill="accent3" w:themeFillShade="BF"/>
      </w:tcPr>
    </w:tblStylePr>
  </w:style>
  <w:style w:type="table" w:styleId="DarkList-Accent4">
    <w:name w:val="Dark List Accent 4"/>
    <w:basedOn w:val="TableNormal"/>
    <w:uiPriority w:val="70"/>
    <w:rsid w:val="00B84943"/>
    <w:pPr>
      <w:spacing w:after="0" w:line="240" w:lineRule="auto"/>
    </w:pPr>
    <w:rPr>
      <w:rFonts w:eastAsiaTheme="minorEastAsia"/>
      <w:color w:val="FFFEFF" w:themeColor="background1"/>
      <w:kern w:val="0"/>
      <w:sz w:val="22"/>
      <w:szCs w:val="22"/>
      <w:lang w:val="en-US"/>
      <w14:ligatures w14:val="none"/>
    </w:rPr>
    <w:tblPr>
      <w:tblStyleRowBandSize w:val="1"/>
      <w:tblStyleColBandSize w:val="1"/>
    </w:tblPr>
    <w:tcPr>
      <w:shd w:val="clear" w:color="auto" w:fill="CEC5BA" w:themeFill="accent4"/>
    </w:tcPr>
    <w:tblStylePr w:type="firstRow">
      <w:rPr>
        <w:b/>
        <w:bCs/>
      </w:rPr>
      <w:tblPr/>
      <w:tcPr>
        <w:tcBorders>
          <w:top w:val="nil"/>
          <w:left w:val="nil"/>
          <w:bottom w:val="single" w:sz="18" w:space="0" w:color="FFFEFF" w:themeColor="background1"/>
          <w:right w:val="nil"/>
          <w:insideH w:val="nil"/>
          <w:insideV w:val="nil"/>
        </w:tcBorders>
        <w:shd w:val="clear" w:color="auto" w:fill="057995" w:themeFill="text1"/>
      </w:tcPr>
    </w:tblStylePr>
    <w:tblStylePr w:type="lastRow">
      <w:tblPr/>
      <w:tcPr>
        <w:tcBorders>
          <w:top w:val="single" w:sz="18" w:space="0" w:color="FFFEFF" w:themeColor="background1"/>
          <w:left w:val="nil"/>
          <w:bottom w:val="nil"/>
          <w:right w:val="nil"/>
          <w:insideH w:val="nil"/>
          <w:insideV w:val="nil"/>
        </w:tcBorders>
        <w:shd w:val="clear" w:color="auto" w:fill="726351" w:themeFill="accent4" w:themeFillShade="7F"/>
      </w:tcPr>
    </w:tblStylePr>
    <w:tblStylePr w:type="firstCol">
      <w:tblPr/>
      <w:tcPr>
        <w:tcBorders>
          <w:top w:val="nil"/>
          <w:left w:val="nil"/>
          <w:bottom w:val="nil"/>
          <w:right w:val="single" w:sz="18" w:space="0" w:color="FFFEFF" w:themeColor="background1"/>
          <w:insideH w:val="nil"/>
          <w:insideV w:val="nil"/>
        </w:tcBorders>
        <w:shd w:val="clear" w:color="auto" w:fill="A59480" w:themeFill="accent4" w:themeFillShade="BF"/>
      </w:tcPr>
    </w:tblStylePr>
    <w:tblStylePr w:type="lastCol">
      <w:tblPr/>
      <w:tcPr>
        <w:tcBorders>
          <w:top w:val="nil"/>
          <w:left w:val="single" w:sz="18" w:space="0" w:color="FFFEFF" w:themeColor="background1"/>
          <w:bottom w:val="nil"/>
          <w:right w:val="nil"/>
          <w:insideH w:val="nil"/>
          <w:insideV w:val="nil"/>
        </w:tcBorders>
        <w:shd w:val="clear" w:color="auto" w:fill="A59480" w:themeFill="accent4" w:themeFillShade="BF"/>
      </w:tcPr>
    </w:tblStylePr>
    <w:tblStylePr w:type="band1Vert">
      <w:tblPr/>
      <w:tcPr>
        <w:tcBorders>
          <w:top w:val="nil"/>
          <w:left w:val="nil"/>
          <w:bottom w:val="nil"/>
          <w:right w:val="nil"/>
          <w:insideH w:val="nil"/>
          <w:insideV w:val="nil"/>
        </w:tcBorders>
        <w:shd w:val="clear" w:color="auto" w:fill="A59480" w:themeFill="accent4" w:themeFillShade="BF"/>
      </w:tcPr>
    </w:tblStylePr>
    <w:tblStylePr w:type="band1Horz">
      <w:tblPr/>
      <w:tcPr>
        <w:tcBorders>
          <w:top w:val="nil"/>
          <w:left w:val="nil"/>
          <w:bottom w:val="nil"/>
          <w:right w:val="nil"/>
          <w:insideH w:val="nil"/>
          <w:insideV w:val="nil"/>
        </w:tcBorders>
        <w:shd w:val="clear" w:color="auto" w:fill="A59480" w:themeFill="accent4" w:themeFillShade="BF"/>
      </w:tcPr>
    </w:tblStylePr>
  </w:style>
  <w:style w:type="table" w:styleId="DarkList-Accent5">
    <w:name w:val="Dark List Accent 5"/>
    <w:basedOn w:val="TableNormal"/>
    <w:uiPriority w:val="70"/>
    <w:rsid w:val="00B84943"/>
    <w:pPr>
      <w:spacing w:after="0" w:line="240" w:lineRule="auto"/>
    </w:pPr>
    <w:rPr>
      <w:rFonts w:eastAsiaTheme="minorEastAsia"/>
      <w:color w:val="FFFEFF" w:themeColor="background1"/>
      <w:kern w:val="0"/>
      <w:sz w:val="22"/>
      <w:szCs w:val="22"/>
      <w:lang w:val="en-US"/>
      <w14:ligatures w14:val="none"/>
    </w:rPr>
    <w:tblPr>
      <w:tblStyleRowBandSize w:val="1"/>
      <w:tblStyleColBandSize w:val="1"/>
    </w:tblPr>
    <w:tcPr>
      <w:shd w:val="clear" w:color="auto" w:fill="057995" w:themeFill="accent5"/>
    </w:tcPr>
    <w:tblStylePr w:type="firstRow">
      <w:rPr>
        <w:b/>
        <w:bCs/>
      </w:rPr>
      <w:tblPr/>
      <w:tcPr>
        <w:tcBorders>
          <w:top w:val="nil"/>
          <w:left w:val="nil"/>
          <w:bottom w:val="single" w:sz="18" w:space="0" w:color="FFFEFF" w:themeColor="background1"/>
          <w:right w:val="nil"/>
          <w:insideH w:val="nil"/>
          <w:insideV w:val="nil"/>
        </w:tcBorders>
        <w:shd w:val="clear" w:color="auto" w:fill="057995" w:themeFill="text1"/>
      </w:tcPr>
    </w:tblStylePr>
    <w:tblStylePr w:type="lastRow">
      <w:tblPr/>
      <w:tcPr>
        <w:tcBorders>
          <w:top w:val="single" w:sz="18" w:space="0" w:color="FFFEFF" w:themeColor="background1"/>
          <w:left w:val="nil"/>
          <w:bottom w:val="nil"/>
          <w:right w:val="nil"/>
          <w:insideH w:val="nil"/>
          <w:insideV w:val="nil"/>
        </w:tcBorders>
        <w:shd w:val="clear" w:color="auto" w:fill="023C4A" w:themeFill="accent5" w:themeFillShade="7F"/>
      </w:tcPr>
    </w:tblStylePr>
    <w:tblStylePr w:type="firstCol">
      <w:tblPr/>
      <w:tcPr>
        <w:tcBorders>
          <w:top w:val="nil"/>
          <w:left w:val="nil"/>
          <w:bottom w:val="nil"/>
          <w:right w:val="single" w:sz="18" w:space="0" w:color="FFFEFF" w:themeColor="background1"/>
          <w:insideH w:val="nil"/>
          <w:insideV w:val="nil"/>
        </w:tcBorders>
        <w:shd w:val="clear" w:color="auto" w:fill="035A6F" w:themeFill="accent5" w:themeFillShade="BF"/>
      </w:tcPr>
    </w:tblStylePr>
    <w:tblStylePr w:type="lastCol">
      <w:tblPr/>
      <w:tcPr>
        <w:tcBorders>
          <w:top w:val="nil"/>
          <w:left w:val="single" w:sz="18" w:space="0" w:color="FFFEFF" w:themeColor="background1"/>
          <w:bottom w:val="nil"/>
          <w:right w:val="nil"/>
          <w:insideH w:val="nil"/>
          <w:insideV w:val="nil"/>
        </w:tcBorders>
        <w:shd w:val="clear" w:color="auto" w:fill="035A6F" w:themeFill="accent5" w:themeFillShade="BF"/>
      </w:tcPr>
    </w:tblStylePr>
    <w:tblStylePr w:type="band1Vert">
      <w:tblPr/>
      <w:tcPr>
        <w:tcBorders>
          <w:top w:val="nil"/>
          <w:left w:val="nil"/>
          <w:bottom w:val="nil"/>
          <w:right w:val="nil"/>
          <w:insideH w:val="nil"/>
          <w:insideV w:val="nil"/>
        </w:tcBorders>
        <w:shd w:val="clear" w:color="auto" w:fill="035A6F" w:themeFill="accent5" w:themeFillShade="BF"/>
      </w:tcPr>
    </w:tblStylePr>
    <w:tblStylePr w:type="band1Horz">
      <w:tblPr/>
      <w:tcPr>
        <w:tcBorders>
          <w:top w:val="nil"/>
          <w:left w:val="nil"/>
          <w:bottom w:val="nil"/>
          <w:right w:val="nil"/>
          <w:insideH w:val="nil"/>
          <w:insideV w:val="nil"/>
        </w:tcBorders>
        <w:shd w:val="clear" w:color="auto" w:fill="035A6F" w:themeFill="accent5" w:themeFillShade="BF"/>
      </w:tcPr>
    </w:tblStylePr>
  </w:style>
  <w:style w:type="table" w:styleId="DarkList-Accent6">
    <w:name w:val="Dark List Accent 6"/>
    <w:basedOn w:val="TableNormal"/>
    <w:uiPriority w:val="70"/>
    <w:rsid w:val="00B84943"/>
    <w:pPr>
      <w:spacing w:after="0" w:line="240" w:lineRule="auto"/>
    </w:pPr>
    <w:rPr>
      <w:rFonts w:eastAsiaTheme="minorEastAsia"/>
      <w:color w:val="FFFEFF" w:themeColor="background1"/>
      <w:kern w:val="0"/>
      <w:sz w:val="22"/>
      <w:szCs w:val="22"/>
      <w:lang w:val="en-US"/>
      <w14:ligatures w14:val="none"/>
    </w:rPr>
    <w:tblPr>
      <w:tblStyleRowBandSize w:val="1"/>
      <w:tblStyleColBandSize w:val="1"/>
    </w:tblPr>
    <w:tcPr>
      <w:shd w:val="clear" w:color="auto" w:fill="082F4C" w:themeFill="accent6"/>
    </w:tcPr>
    <w:tblStylePr w:type="firstRow">
      <w:rPr>
        <w:b/>
        <w:bCs/>
      </w:rPr>
      <w:tblPr/>
      <w:tcPr>
        <w:tcBorders>
          <w:top w:val="nil"/>
          <w:left w:val="nil"/>
          <w:bottom w:val="single" w:sz="18" w:space="0" w:color="FFFEFF" w:themeColor="background1"/>
          <w:right w:val="nil"/>
          <w:insideH w:val="nil"/>
          <w:insideV w:val="nil"/>
        </w:tcBorders>
        <w:shd w:val="clear" w:color="auto" w:fill="057995" w:themeFill="text1"/>
      </w:tcPr>
    </w:tblStylePr>
    <w:tblStylePr w:type="lastRow">
      <w:tblPr/>
      <w:tcPr>
        <w:tcBorders>
          <w:top w:val="single" w:sz="18" w:space="0" w:color="FFFEFF" w:themeColor="background1"/>
          <w:left w:val="nil"/>
          <w:bottom w:val="nil"/>
          <w:right w:val="nil"/>
          <w:insideH w:val="nil"/>
          <w:insideV w:val="nil"/>
        </w:tcBorders>
        <w:shd w:val="clear" w:color="auto" w:fill="041725" w:themeFill="accent6" w:themeFillShade="7F"/>
      </w:tcPr>
    </w:tblStylePr>
    <w:tblStylePr w:type="firstCol">
      <w:tblPr/>
      <w:tcPr>
        <w:tcBorders>
          <w:top w:val="nil"/>
          <w:left w:val="nil"/>
          <w:bottom w:val="nil"/>
          <w:right w:val="single" w:sz="18" w:space="0" w:color="FFFEFF" w:themeColor="background1"/>
          <w:insideH w:val="nil"/>
          <w:insideV w:val="nil"/>
        </w:tcBorders>
        <w:shd w:val="clear" w:color="auto" w:fill="062338" w:themeFill="accent6" w:themeFillShade="BF"/>
      </w:tcPr>
    </w:tblStylePr>
    <w:tblStylePr w:type="lastCol">
      <w:tblPr/>
      <w:tcPr>
        <w:tcBorders>
          <w:top w:val="nil"/>
          <w:left w:val="single" w:sz="18" w:space="0" w:color="FFFEFF" w:themeColor="background1"/>
          <w:bottom w:val="nil"/>
          <w:right w:val="nil"/>
          <w:insideH w:val="nil"/>
          <w:insideV w:val="nil"/>
        </w:tcBorders>
        <w:shd w:val="clear" w:color="auto" w:fill="062338" w:themeFill="accent6" w:themeFillShade="BF"/>
      </w:tcPr>
    </w:tblStylePr>
    <w:tblStylePr w:type="band1Vert">
      <w:tblPr/>
      <w:tcPr>
        <w:tcBorders>
          <w:top w:val="nil"/>
          <w:left w:val="nil"/>
          <w:bottom w:val="nil"/>
          <w:right w:val="nil"/>
          <w:insideH w:val="nil"/>
          <w:insideV w:val="nil"/>
        </w:tcBorders>
        <w:shd w:val="clear" w:color="auto" w:fill="062338" w:themeFill="accent6" w:themeFillShade="BF"/>
      </w:tcPr>
    </w:tblStylePr>
    <w:tblStylePr w:type="band1Horz">
      <w:tblPr/>
      <w:tcPr>
        <w:tcBorders>
          <w:top w:val="nil"/>
          <w:left w:val="nil"/>
          <w:bottom w:val="nil"/>
          <w:right w:val="nil"/>
          <w:insideH w:val="nil"/>
          <w:insideV w:val="nil"/>
        </w:tcBorders>
        <w:shd w:val="clear" w:color="auto" w:fill="062338" w:themeFill="accent6" w:themeFillShade="BF"/>
      </w:tcPr>
    </w:tblStylePr>
  </w:style>
  <w:style w:type="table" w:styleId="ColorfulShading">
    <w:name w:val="Colorful Shading"/>
    <w:basedOn w:val="TableNormal"/>
    <w:uiPriority w:val="71"/>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top w:val="single" w:sz="24" w:space="0" w:color="082F4C" w:themeColor="accent2"/>
        <w:left w:val="single" w:sz="4" w:space="0" w:color="057995" w:themeColor="text1"/>
        <w:bottom w:val="single" w:sz="4" w:space="0" w:color="057995" w:themeColor="text1"/>
        <w:right w:val="single" w:sz="4" w:space="0" w:color="057995" w:themeColor="text1"/>
        <w:insideH w:val="single" w:sz="4" w:space="0" w:color="FFFEFF" w:themeColor="background1"/>
        <w:insideV w:val="single" w:sz="4" w:space="0" w:color="FFFEFF" w:themeColor="background1"/>
      </w:tblBorders>
    </w:tblPr>
    <w:tcPr>
      <w:shd w:val="clear" w:color="auto" w:fill="DDF7FE" w:themeFill="text1" w:themeFillTint="19"/>
    </w:tcPr>
    <w:tblStylePr w:type="firstRow">
      <w:rPr>
        <w:b/>
        <w:bCs/>
      </w:rPr>
      <w:tblPr/>
      <w:tcPr>
        <w:tcBorders>
          <w:top w:val="nil"/>
          <w:left w:val="nil"/>
          <w:bottom w:val="single" w:sz="24" w:space="0" w:color="082F4C" w:themeColor="accent2"/>
          <w:right w:val="nil"/>
          <w:insideH w:val="nil"/>
          <w:insideV w:val="nil"/>
        </w:tcBorders>
        <w:shd w:val="clear" w:color="auto" w:fill="FFFEFF" w:themeFill="background1"/>
      </w:tcPr>
    </w:tblStylePr>
    <w:tblStylePr w:type="lastRow">
      <w:rPr>
        <w:b/>
        <w:bCs/>
        <w:color w:val="FFFEFF" w:themeColor="background1"/>
      </w:rPr>
      <w:tblPr/>
      <w:tcPr>
        <w:tcBorders>
          <w:top w:val="single" w:sz="6" w:space="0" w:color="FFFEFF" w:themeColor="background1"/>
        </w:tcBorders>
        <w:shd w:val="clear" w:color="auto" w:fill="034859" w:themeFill="text1" w:themeFillShade="99"/>
      </w:tcPr>
    </w:tblStylePr>
    <w:tblStylePr w:type="firstCol">
      <w:rPr>
        <w:color w:val="FFFEFF" w:themeColor="background1"/>
      </w:rPr>
      <w:tblPr/>
      <w:tcPr>
        <w:tcBorders>
          <w:top w:val="nil"/>
          <w:left w:val="nil"/>
          <w:bottom w:val="nil"/>
          <w:right w:val="nil"/>
          <w:insideH w:val="single" w:sz="4" w:space="0" w:color="034859" w:themeColor="text1" w:themeShade="99"/>
          <w:insideV w:val="nil"/>
        </w:tcBorders>
        <w:shd w:val="clear" w:color="auto" w:fill="034859" w:themeFill="text1" w:themeFillShade="99"/>
      </w:tcPr>
    </w:tblStylePr>
    <w:tblStylePr w:type="lastCol">
      <w:rPr>
        <w:color w:val="FFFEFF" w:themeColor="background1"/>
      </w:rPr>
      <w:tblPr/>
      <w:tcPr>
        <w:tcBorders>
          <w:top w:val="nil"/>
          <w:left w:val="nil"/>
          <w:bottom w:val="nil"/>
          <w:right w:val="nil"/>
          <w:insideH w:val="nil"/>
          <w:insideV w:val="nil"/>
        </w:tcBorders>
        <w:shd w:val="clear" w:color="auto" w:fill="035A6F" w:themeFill="text1" w:themeFillShade="BF"/>
      </w:tcPr>
    </w:tblStylePr>
    <w:tblStylePr w:type="band1Vert">
      <w:tblPr/>
      <w:tcPr>
        <w:shd w:val="clear" w:color="auto" w:fill="74E0FA" w:themeFill="text1" w:themeFillTint="66"/>
      </w:tcPr>
    </w:tblStylePr>
    <w:tblStylePr w:type="band1Horz">
      <w:tblPr/>
      <w:tcPr>
        <w:shd w:val="clear" w:color="auto" w:fill="53D8F9" w:themeFill="text1" w:themeFillTint="7F"/>
      </w:tcPr>
    </w:tblStylePr>
    <w:tblStylePr w:type="neCell">
      <w:rPr>
        <w:color w:val="057995" w:themeColor="text1"/>
      </w:rPr>
    </w:tblStylePr>
    <w:tblStylePr w:type="nwCell">
      <w:rPr>
        <w:color w:val="057995" w:themeColor="text1"/>
      </w:rPr>
    </w:tblStylePr>
  </w:style>
  <w:style w:type="table" w:styleId="ColorfulShading-Accent1">
    <w:name w:val="Colorful Shading Accent 1"/>
    <w:basedOn w:val="TableNormal"/>
    <w:uiPriority w:val="71"/>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top w:val="single" w:sz="24" w:space="0" w:color="082F4C" w:themeColor="accent2"/>
        <w:left w:val="single" w:sz="4" w:space="0" w:color="057995" w:themeColor="accent1"/>
        <w:bottom w:val="single" w:sz="4" w:space="0" w:color="057995" w:themeColor="accent1"/>
        <w:right w:val="single" w:sz="4" w:space="0" w:color="057995" w:themeColor="accent1"/>
        <w:insideH w:val="single" w:sz="4" w:space="0" w:color="FFFEFF" w:themeColor="background1"/>
        <w:insideV w:val="single" w:sz="4" w:space="0" w:color="FFFEFF" w:themeColor="background1"/>
      </w:tblBorders>
    </w:tblPr>
    <w:tcPr>
      <w:shd w:val="clear" w:color="auto" w:fill="DDF7FE" w:themeFill="accent1" w:themeFillTint="19"/>
    </w:tcPr>
    <w:tblStylePr w:type="firstRow">
      <w:rPr>
        <w:b/>
        <w:bCs/>
      </w:rPr>
      <w:tblPr/>
      <w:tcPr>
        <w:tcBorders>
          <w:top w:val="nil"/>
          <w:left w:val="nil"/>
          <w:bottom w:val="single" w:sz="24" w:space="0" w:color="082F4C" w:themeColor="accent2"/>
          <w:right w:val="nil"/>
          <w:insideH w:val="nil"/>
          <w:insideV w:val="nil"/>
        </w:tcBorders>
        <w:shd w:val="clear" w:color="auto" w:fill="FFFEFF" w:themeFill="background1"/>
      </w:tcPr>
    </w:tblStylePr>
    <w:tblStylePr w:type="lastRow">
      <w:rPr>
        <w:b/>
        <w:bCs/>
        <w:color w:val="FFFEFF" w:themeColor="background1"/>
      </w:rPr>
      <w:tblPr/>
      <w:tcPr>
        <w:tcBorders>
          <w:top w:val="single" w:sz="6" w:space="0" w:color="FFFEFF" w:themeColor="background1"/>
        </w:tcBorders>
        <w:shd w:val="clear" w:color="auto" w:fill="034859" w:themeFill="accent1" w:themeFillShade="99"/>
      </w:tcPr>
    </w:tblStylePr>
    <w:tblStylePr w:type="firstCol">
      <w:rPr>
        <w:color w:val="FFFEFF" w:themeColor="background1"/>
      </w:rPr>
      <w:tblPr/>
      <w:tcPr>
        <w:tcBorders>
          <w:top w:val="nil"/>
          <w:left w:val="nil"/>
          <w:bottom w:val="nil"/>
          <w:right w:val="nil"/>
          <w:insideH w:val="single" w:sz="4" w:space="0" w:color="034859" w:themeColor="accent1" w:themeShade="99"/>
          <w:insideV w:val="nil"/>
        </w:tcBorders>
        <w:shd w:val="clear" w:color="auto" w:fill="034859" w:themeFill="accent1" w:themeFillShade="99"/>
      </w:tcPr>
    </w:tblStylePr>
    <w:tblStylePr w:type="lastCol">
      <w:rPr>
        <w:color w:val="FFFEFF" w:themeColor="background1"/>
      </w:rPr>
      <w:tblPr/>
      <w:tcPr>
        <w:tcBorders>
          <w:top w:val="nil"/>
          <w:left w:val="nil"/>
          <w:bottom w:val="nil"/>
          <w:right w:val="nil"/>
          <w:insideH w:val="nil"/>
          <w:insideV w:val="nil"/>
        </w:tcBorders>
        <w:shd w:val="clear" w:color="auto" w:fill="034859" w:themeFill="accent1" w:themeFillShade="99"/>
      </w:tcPr>
    </w:tblStylePr>
    <w:tblStylePr w:type="band1Vert">
      <w:tblPr/>
      <w:tcPr>
        <w:shd w:val="clear" w:color="auto" w:fill="74E0FA" w:themeFill="accent1" w:themeFillTint="66"/>
      </w:tcPr>
    </w:tblStylePr>
    <w:tblStylePr w:type="band1Horz">
      <w:tblPr/>
      <w:tcPr>
        <w:shd w:val="clear" w:color="auto" w:fill="53D8F9" w:themeFill="accent1" w:themeFillTint="7F"/>
      </w:tcPr>
    </w:tblStylePr>
    <w:tblStylePr w:type="neCell">
      <w:rPr>
        <w:color w:val="057995" w:themeColor="text1"/>
      </w:rPr>
    </w:tblStylePr>
    <w:tblStylePr w:type="nwCell">
      <w:rPr>
        <w:color w:val="057995" w:themeColor="text1"/>
      </w:rPr>
    </w:tblStylePr>
  </w:style>
  <w:style w:type="table" w:styleId="ColorfulShading-Accent2">
    <w:name w:val="Colorful Shading Accent 2"/>
    <w:basedOn w:val="TableNormal"/>
    <w:uiPriority w:val="71"/>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top w:val="single" w:sz="24" w:space="0" w:color="082F4C" w:themeColor="accent2"/>
        <w:left w:val="single" w:sz="4" w:space="0" w:color="082F4C" w:themeColor="accent2"/>
        <w:bottom w:val="single" w:sz="4" w:space="0" w:color="082F4C" w:themeColor="accent2"/>
        <w:right w:val="single" w:sz="4" w:space="0" w:color="082F4C" w:themeColor="accent2"/>
        <w:insideH w:val="single" w:sz="4" w:space="0" w:color="FFFEFF" w:themeColor="background1"/>
        <w:insideV w:val="single" w:sz="4" w:space="0" w:color="FFFEFF" w:themeColor="background1"/>
      </w:tblBorders>
    </w:tblPr>
    <w:tcPr>
      <w:shd w:val="clear" w:color="auto" w:fill="D9ECFB" w:themeFill="accent2" w:themeFillTint="19"/>
    </w:tcPr>
    <w:tblStylePr w:type="firstRow">
      <w:rPr>
        <w:b/>
        <w:bCs/>
      </w:rPr>
      <w:tblPr/>
      <w:tcPr>
        <w:tcBorders>
          <w:top w:val="nil"/>
          <w:left w:val="nil"/>
          <w:bottom w:val="single" w:sz="24" w:space="0" w:color="082F4C" w:themeColor="accent2"/>
          <w:right w:val="nil"/>
          <w:insideH w:val="nil"/>
          <w:insideV w:val="nil"/>
        </w:tcBorders>
        <w:shd w:val="clear" w:color="auto" w:fill="FFFEFF" w:themeFill="background1"/>
      </w:tcPr>
    </w:tblStylePr>
    <w:tblStylePr w:type="lastRow">
      <w:rPr>
        <w:b/>
        <w:bCs/>
        <w:color w:val="FFFEFF" w:themeColor="background1"/>
      </w:rPr>
      <w:tblPr/>
      <w:tcPr>
        <w:tcBorders>
          <w:top w:val="single" w:sz="6" w:space="0" w:color="FFFEFF" w:themeColor="background1"/>
        </w:tcBorders>
        <w:shd w:val="clear" w:color="auto" w:fill="041C2D" w:themeFill="accent2" w:themeFillShade="99"/>
      </w:tcPr>
    </w:tblStylePr>
    <w:tblStylePr w:type="firstCol">
      <w:rPr>
        <w:color w:val="FFFEFF" w:themeColor="background1"/>
      </w:rPr>
      <w:tblPr/>
      <w:tcPr>
        <w:tcBorders>
          <w:top w:val="nil"/>
          <w:left w:val="nil"/>
          <w:bottom w:val="nil"/>
          <w:right w:val="nil"/>
          <w:insideH w:val="single" w:sz="4" w:space="0" w:color="041C2D" w:themeColor="accent2" w:themeShade="99"/>
          <w:insideV w:val="nil"/>
        </w:tcBorders>
        <w:shd w:val="clear" w:color="auto" w:fill="041C2D" w:themeFill="accent2" w:themeFillShade="99"/>
      </w:tcPr>
    </w:tblStylePr>
    <w:tblStylePr w:type="lastCol">
      <w:rPr>
        <w:color w:val="FFFEFF" w:themeColor="background1"/>
      </w:rPr>
      <w:tblPr/>
      <w:tcPr>
        <w:tcBorders>
          <w:top w:val="nil"/>
          <w:left w:val="nil"/>
          <w:bottom w:val="nil"/>
          <w:right w:val="nil"/>
          <w:insideH w:val="nil"/>
          <w:insideV w:val="nil"/>
        </w:tcBorders>
        <w:shd w:val="clear" w:color="auto" w:fill="041C2D" w:themeFill="accent2" w:themeFillShade="99"/>
      </w:tcPr>
    </w:tblStylePr>
    <w:tblStylePr w:type="band1Vert">
      <w:tblPr/>
      <w:tcPr>
        <w:shd w:val="clear" w:color="auto" w:fill="64B3EE" w:themeFill="accent2" w:themeFillTint="66"/>
      </w:tcPr>
    </w:tblStylePr>
    <w:tblStylePr w:type="band1Horz">
      <w:tblPr/>
      <w:tcPr>
        <w:shd w:val="clear" w:color="auto" w:fill="3EA1EA" w:themeFill="accent2" w:themeFillTint="7F"/>
      </w:tcPr>
    </w:tblStylePr>
    <w:tblStylePr w:type="neCell">
      <w:rPr>
        <w:color w:val="057995" w:themeColor="text1"/>
      </w:rPr>
    </w:tblStylePr>
    <w:tblStylePr w:type="nwCell">
      <w:rPr>
        <w:color w:val="057995" w:themeColor="text1"/>
      </w:rPr>
    </w:tblStylePr>
  </w:style>
  <w:style w:type="table" w:styleId="ColorfulShading-Accent3">
    <w:name w:val="Colorful Shading Accent 3"/>
    <w:basedOn w:val="TableNormal"/>
    <w:uiPriority w:val="71"/>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top w:val="single" w:sz="24" w:space="0" w:color="CEC5BA" w:themeColor="accent4"/>
        <w:left w:val="single" w:sz="4" w:space="0" w:color="A31D49" w:themeColor="accent3"/>
        <w:bottom w:val="single" w:sz="4" w:space="0" w:color="A31D49" w:themeColor="accent3"/>
        <w:right w:val="single" w:sz="4" w:space="0" w:color="A31D49" w:themeColor="accent3"/>
        <w:insideH w:val="single" w:sz="4" w:space="0" w:color="FFFEFF" w:themeColor="background1"/>
        <w:insideV w:val="single" w:sz="4" w:space="0" w:color="FFFEFF" w:themeColor="background1"/>
      </w:tblBorders>
    </w:tblPr>
    <w:tcPr>
      <w:shd w:val="clear" w:color="auto" w:fill="FAE4EB" w:themeFill="accent3" w:themeFillTint="19"/>
    </w:tcPr>
    <w:tblStylePr w:type="firstRow">
      <w:rPr>
        <w:b/>
        <w:bCs/>
      </w:rPr>
      <w:tblPr/>
      <w:tcPr>
        <w:tcBorders>
          <w:top w:val="nil"/>
          <w:left w:val="nil"/>
          <w:bottom w:val="single" w:sz="24" w:space="0" w:color="CEC5BA" w:themeColor="accent4"/>
          <w:right w:val="nil"/>
          <w:insideH w:val="nil"/>
          <w:insideV w:val="nil"/>
        </w:tcBorders>
        <w:shd w:val="clear" w:color="auto" w:fill="FFFEFF" w:themeFill="background1"/>
      </w:tcPr>
    </w:tblStylePr>
    <w:tblStylePr w:type="lastRow">
      <w:rPr>
        <w:b/>
        <w:bCs/>
        <w:color w:val="FFFEFF" w:themeColor="background1"/>
      </w:rPr>
      <w:tblPr/>
      <w:tcPr>
        <w:tcBorders>
          <w:top w:val="single" w:sz="6" w:space="0" w:color="FFFEFF" w:themeColor="background1"/>
        </w:tcBorders>
        <w:shd w:val="clear" w:color="auto" w:fill="61112B" w:themeFill="accent3" w:themeFillShade="99"/>
      </w:tcPr>
    </w:tblStylePr>
    <w:tblStylePr w:type="firstCol">
      <w:rPr>
        <w:color w:val="FFFEFF" w:themeColor="background1"/>
      </w:rPr>
      <w:tblPr/>
      <w:tcPr>
        <w:tcBorders>
          <w:top w:val="nil"/>
          <w:left w:val="nil"/>
          <w:bottom w:val="nil"/>
          <w:right w:val="nil"/>
          <w:insideH w:val="single" w:sz="4" w:space="0" w:color="61112B" w:themeColor="accent3" w:themeShade="99"/>
          <w:insideV w:val="nil"/>
        </w:tcBorders>
        <w:shd w:val="clear" w:color="auto" w:fill="61112B" w:themeFill="accent3" w:themeFillShade="99"/>
      </w:tcPr>
    </w:tblStylePr>
    <w:tblStylePr w:type="lastCol">
      <w:rPr>
        <w:color w:val="FFFEFF" w:themeColor="background1"/>
      </w:rPr>
      <w:tblPr/>
      <w:tcPr>
        <w:tcBorders>
          <w:top w:val="nil"/>
          <w:left w:val="nil"/>
          <w:bottom w:val="nil"/>
          <w:right w:val="nil"/>
          <w:insideH w:val="nil"/>
          <w:insideV w:val="nil"/>
        </w:tcBorders>
        <w:shd w:val="clear" w:color="auto" w:fill="61112B" w:themeFill="accent3" w:themeFillShade="99"/>
      </w:tcPr>
    </w:tblStylePr>
    <w:tblStylePr w:type="band1Vert">
      <w:tblPr/>
      <w:tcPr>
        <w:shd w:val="clear" w:color="auto" w:fill="EB92AF" w:themeFill="accent3" w:themeFillTint="66"/>
      </w:tcPr>
    </w:tblStylePr>
    <w:tblStylePr w:type="band1Horz">
      <w:tblPr/>
      <w:tcPr>
        <w:shd w:val="clear" w:color="auto" w:fill="E7789C" w:themeFill="accent3" w:themeFillTint="7F"/>
      </w:tcPr>
    </w:tblStylePr>
  </w:style>
  <w:style w:type="table" w:styleId="ColorfulShading-Accent4">
    <w:name w:val="Colorful Shading Accent 4"/>
    <w:basedOn w:val="TableNormal"/>
    <w:uiPriority w:val="71"/>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top w:val="single" w:sz="24" w:space="0" w:color="A31D49" w:themeColor="accent3"/>
        <w:left w:val="single" w:sz="4" w:space="0" w:color="CEC5BA" w:themeColor="accent4"/>
        <w:bottom w:val="single" w:sz="4" w:space="0" w:color="CEC5BA" w:themeColor="accent4"/>
        <w:right w:val="single" w:sz="4" w:space="0" w:color="CEC5BA" w:themeColor="accent4"/>
        <w:insideH w:val="single" w:sz="4" w:space="0" w:color="FFFEFF" w:themeColor="background1"/>
        <w:insideV w:val="single" w:sz="4" w:space="0" w:color="FFFEFF" w:themeColor="background1"/>
      </w:tblBorders>
    </w:tblPr>
    <w:tcPr>
      <w:shd w:val="clear" w:color="auto" w:fill="FAF9F8" w:themeFill="accent4" w:themeFillTint="19"/>
    </w:tcPr>
    <w:tblStylePr w:type="firstRow">
      <w:rPr>
        <w:b/>
        <w:bCs/>
      </w:rPr>
      <w:tblPr/>
      <w:tcPr>
        <w:tcBorders>
          <w:top w:val="nil"/>
          <w:left w:val="nil"/>
          <w:bottom w:val="single" w:sz="24" w:space="0" w:color="A31D49" w:themeColor="accent3"/>
          <w:right w:val="nil"/>
          <w:insideH w:val="nil"/>
          <w:insideV w:val="nil"/>
        </w:tcBorders>
        <w:shd w:val="clear" w:color="auto" w:fill="FFFEFF" w:themeFill="background1"/>
      </w:tcPr>
    </w:tblStylePr>
    <w:tblStylePr w:type="lastRow">
      <w:rPr>
        <w:b/>
        <w:bCs/>
        <w:color w:val="FFFEFF" w:themeColor="background1"/>
      </w:rPr>
      <w:tblPr/>
      <w:tcPr>
        <w:tcBorders>
          <w:top w:val="single" w:sz="6" w:space="0" w:color="FFFEFF" w:themeColor="background1"/>
        </w:tcBorders>
        <w:shd w:val="clear" w:color="auto" w:fill="897761" w:themeFill="accent4" w:themeFillShade="99"/>
      </w:tcPr>
    </w:tblStylePr>
    <w:tblStylePr w:type="firstCol">
      <w:rPr>
        <w:color w:val="FFFEFF" w:themeColor="background1"/>
      </w:rPr>
      <w:tblPr/>
      <w:tcPr>
        <w:tcBorders>
          <w:top w:val="nil"/>
          <w:left w:val="nil"/>
          <w:bottom w:val="nil"/>
          <w:right w:val="nil"/>
          <w:insideH w:val="single" w:sz="4" w:space="0" w:color="897761" w:themeColor="accent4" w:themeShade="99"/>
          <w:insideV w:val="nil"/>
        </w:tcBorders>
        <w:shd w:val="clear" w:color="auto" w:fill="897761" w:themeFill="accent4" w:themeFillShade="99"/>
      </w:tcPr>
    </w:tblStylePr>
    <w:tblStylePr w:type="lastCol">
      <w:rPr>
        <w:color w:val="FFFEFF" w:themeColor="background1"/>
      </w:rPr>
      <w:tblPr/>
      <w:tcPr>
        <w:tcBorders>
          <w:top w:val="nil"/>
          <w:left w:val="nil"/>
          <w:bottom w:val="nil"/>
          <w:right w:val="nil"/>
          <w:insideH w:val="nil"/>
          <w:insideV w:val="nil"/>
        </w:tcBorders>
        <w:shd w:val="clear" w:color="auto" w:fill="897761" w:themeFill="accent4" w:themeFillShade="99"/>
      </w:tcPr>
    </w:tblStylePr>
    <w:tblStylePr w:type="band1Vert">
      <w:tblPr/>
      <w:tcPr>
        <w:shd w:val="clear" w:color="auto" w:fill="EBE7E3" w:themeFill="accent4" w:themeFillTint="66"/>
      </w:tcPr>
    </w:tblStylePr>
    <w:tblStylePr w:type="band1Horz">
      <w:tblPr/>
      <w:tcPr>
        <w:shd w:val="clear" w:color="auto" w:fill="E6E1DC" w:themeFill="accent4" w:themeFillTint="7F"/>
      </w:tcPr>
    </w:tblStylePr>
    <w:tblStylePr w:type="neCell">
      <w:rPr>
        <w:color w:val="057995" w:themeColor="text1"/>
      </w:rPr>
    </w:tblStylePr>
    <w:tblStylePr w:type="nwCell">
      <w:rPr>
        <w:color w:val="057995" w:themeColor="text1"/>
      </w:rPr>
    </w:tblStylePr>
  </w:style>
  <w:style w:type="table" w:styleId="ColorfulShading-Accent5">
    <w:name w:val="Colorful Shading Accent 5"/>
    <w:basedOn w:val="TableNormal"/>
    <w:uiPriority w:val="71"/>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top w:val="single" w:sz="24" w:space="0" w:color="082F4C" w:themeColor="accent6"/>
        <w:left w:val="single" w:sz="4" w:space="0" w:color="057995" w:themeColor="accent5"/>
        <w:bottom w:val="single" w:sz="4" w:space="0" w:color="057995" w:themeColor="accent5"/>
        <w:right w:val="single" w:sz="4" w:space="0" w:color="057995" w:themeColor="accent5"/>
        <w:insideH w:val="single" w:sz="4" w:space="0" w:color="FFFEFF" w:themeColor="background1"/>
        <w:insideV w:val="single" w:sz="4" w:space="0" w:color="FFFEFF" w:themeColor="background1"/>
      </w:tblBorders>
    </w:tblPr>
    <w:tcPr>
      <w:shd w:val="clear" w:color="auto" w:fill="DDF7FE" w:themeFill="accent5" w:themeFillTint="19"/>
    </w:tcPr>
    <w:tblStylePr w:type="firstRow">
      <w:rPr>
        <w:b/>
        <w:bCs/>
      </w:rPr>
      <w:tblPr/>
      <w:tcPr>
        <w:tcBorders>
          <w:top w:val="nil"/>
          <w:left w:val="nil"/>
          <w:bottom w:val="single" w:sz="24" w:space="0" w:color="082F4C" w:themeColor="accent6"/>
          <w:right w:val="nil"/>
          <w:insideH w:val="nil"/>
          <w:insideV w:val="nil"/>
        </w:tcBorders>
        <w:shd w:val="clear" w:color="auto" w:fill="FFFEFF" w:themeFill="background1"/>
      </w:tcPr>
    </w:tblStylePr>
    <w:tblStylePr w:type="lastRow">
      <w:rPr>
        <w:b/>
        <w:bCs/>
        <w:color w:val="FFFEFF" w:themeColor="background1"/>
      </w:rPr>
      <w:tblPr/>
      <w:tcPr>
        <w:tcBorders>
          <w:top w:val="single" w:sz="6" w:space="0" w:color="FFFEFF" w:themeColor="background1"/>
        </w:tcBorders>
        <w:shd w:val="clear" w:color="auto" w:fill="034859" w:themeFill="accent5" w:themeFillShade="99"/>
      </w:tcPr>
    </w:tblStylePr>
    <w:tblStylePr w:type="firstCol">
      <w:rPr>
        <w:color w:val="FFFEFF" w:themeColor="background1"/>
      </w:rPr>
      <w:tblPr/>
      <w:tcPr>
        <w:tcBorders>
          <w:top w:val="nil"/>
          <w:left w:val="nil"/>
          <w:bottom w:val="nil"/>
          <w:right w:val="nil"/>
          <w:insideH w:val="single" w:sz="4" w:space="0" w:color="034859" w:themeColor="accent5" w:themeShade="99"/>
          <w:insideV w:val="nil"/>
        </w:tcBorders>
        <w:shd w:val="clear" w:color="auto" w:fill="034859" w:themeFill="accent5" w:themeFillShade="99"/>
      </w:tcPr>
    </w:tblStylePr>
    <w:tblStylePr w:type="lastCol">
      <w:rPr>
        <w:color w:val="FFFEFF" w:themeColor="background1"/>
      </w:rPr>
      <w:tblPr/>
      <w:tcPr>
        <w:tcBorders>
          <w:top w:val="nil"/>
          <w:left w:val="nil"/>
          <w:bottom w:val="nil"/>
          <w:right w:val="nil"/>
          <w:insideH w:val="nil"/>
          <w:insideV w:val="nil"/>
        </w:tcBorders>
        <w:shd w:val="clear" w:color="auto" w:fill="034859" w:themeFill="accent5" w:themeFillShade="99"/>
      </w:tcPr>
    </w:tblStylePr>
    <w:tblStylePr w:type="band1Vert">
      <w:tblPr/>
      <w:tcPr>
        <w:shd w:val="clear" w:color="auto" w:fill="74E0FA" w:themeFill="accent5" w:themeFillTint="66"/>
      </w:tcPr>
    </w:tblStylePr>
    <w:tblStylePr w:type="band1Horz">
      <w:tblPr/>
      <w:tcPr>
        <w:shd w:val="clear" w:color="auto" w:fill="53D8F9" w:themeFill="accent5" w:themeFillTint="7F"/>
      </w:tcPr>
    </w:tblStylePr>
    <w:tblStylePr w:type="neCell">
      <w:rPr>
        <w:color w:val="057995" w:themeColor="text1"/>
      </w:rPr>
    </w:tblStylePr>
    <w:tblStylePr w:type="nwCell">
      <w:rPr>
        <w:color w:val="057995" w:themeColor="text1"/>
      </w:rPr>
    </w:tblStylePr>
  </w:style>
  <w:style w:type="table" w:styleId="ColorfulShading-Accent6">
    <w:name w:val="Colorful Shading Accent 6"/>
    <w:basedOn w:val="TableNormal"/>
    <w:uiPriority w:val="71"/>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top w:val="single" w:sz="24" w:space="0" w:color="057995" w:themeColor="accent5"/>
        <w:left w:val="single" w:sz="4" w:space="0" w:color="082F4C" w:themeColor="accent6"/>
        <w:bottom w:val="single" w:sz="4" w:space="0" w:color="082F4C" w:themeColor="accent6"/>
        <w:right w:val="single" w:sz="4" w:space="0" w:color="082F4C" w:themeColor="accent6"/>
        <w:insideH w:val="single" w:sz="4" w:space="0" w:color="FFFEFF" w:themeColor="background1"/>
        <w:insideV w:val="single" w:sz="4" w:space="0" w:color="FFFEFF" w:themeColor="background1"/>
      </w:tblBorders>
    </w:tblPr>
    <w:tcPr>
      <w:shd w:val="clear" w:color="auto" w:fill="D9ECFB" w:themeFill="accent6" w:themeFillTint="19"/>
    </w:tcPr>
    <w:tblStylePr w:type="firstRow">
      <w:rPr>
        <w:b/>
        <w:bCs/>
      </w:rPr>
      <w:tblPr/>
      <w:tcPr>
        <w:tcBorders>
          <w:top w:val="nil"/>
          <w:left w:val="nil"/>
          <w:bottom w:val="single" w:sz="24" w:space="0" w:color="057995" w:themeColor="accent5"/>
          <w:right w:val="nil"/>
          <w:insideH w:val="nil"/>
          <w:insideV w:val="nil"/>
        </w:tcBorders>
        <w:shd w:val="clear" w:color="auto" w:fill="FFFEFF" w:themeFill="background1"/>
      </w:tcPr>
    </w:tblStylePr>
    <w:tblStylePr w:type="lastRow">
      <w:rPr>
        <w:b/>
        <w:bCs/>
        <w:color w:val="FFFEFF" w:themeColor="background1"/>
      </w:rPr>
      <w:tblPr/>
      <w:tcPr>
        <w:tcBorders>
          <w:top w:val="single" w:sz="6" w:space="0" w:color="FFFEFF" w:themeColor="background1"/>
        </w:tcBorders>
        <w:shd w:val="clear" w:color="auto" w:fill="041C2D" w:themeFill="accent6" w:themeFillShade="99"/>
      </w:tcPr>
    </w:tblStylePr>
    <w:tblStylePr w:type="firstCol">
      <w:rPr>
        <w:color w:val="FFFEFF" w:themeColor="background1"/>
      </w:rPr>
      <w:tblPr/>
      <w:tcPr>
        <w:tcBorders>
          <w:top w:val="nil"/>
          <w:left w:val="nil"/>
          <w:bottom w:val="nil"/>
          <w:right w:val="nil"/>
          <w:insideH w:val="single" w:sz="4" w:space="0" w:color="041C2D" w:themeColor="accent6" w:themeShade="99"/>
          <w:insideV w:val="nil"/>
        </w:tcBorders>
        <w:shd w:val="clear" w:color="auto" w:fill="041C2D" w:themeFill="accent6" w:themeFillShade="99"/>
      </w:tcPr>
    </w:tblStylePr>
    <w:tblStylePr w:type="lastCol">
      <w:rPr>
        <w:color w:val="FFFEFF" w:themeColor="background1"/>
      </w:rPr>
      <w:tblPr/>
      <w:tcPr>
        <w:tcBorders>
          <w:top w:val="nil"/>
          <w:left w:val="nil"/>
          <w:bottom w:val="nil"/>
          <w:right w:val="nil"/>
          <w:insideH w:val="nil"/>
          <w:insideV w:val="nil"/>
        </w:tcBorders>
        <w:shd w:val="clear" w:color="auto" w:fill="041C2D" w:themeFill="accent6" w:themeFillShade="99"/>
      </w:tcPr>
    </w:tblStylePr>
    <w:tblStylePr w:type="band1Vert">
      <w:tblPr/>
      <w:tcPr>
        <w:shd w:val="clear" w:color="auto" w:fill="64B3EE" w:themeFill="accent6" w:themeFillTint="66"/>
      </w:tcPr>
    </w:tblStylePr>
    <w:tblStylePr w:type="band1Horz">
      <w:tblPr/>
      <w:tcPr>
        <w:shd w:val="clear" w:color="auto" w:fill="3EA1EA" w:themeFill="accent6" w:themeFillTint="7F"/>
      </w:tcPr>
    </w:tblStylePr>
    <w:tblStylePr w:type="neCell">
      <w:rPr>
        <w:color w:val="057995" w:themeColor="text1"/>
      </w:rPr>
    </w:tblStylePr>
    <w:tblStylePr w:type="nwCell">
      <w:rPr>
        <w:color w:val="057995" w:themeColor="text1"/>
      </w:rPr>
    </w:tblStylePr>
  </w:style>
  <w:style w:type="table" w:styleId="ColorfulList">
    <w:name w:val="Colorful List"/>
    <w:basedOn w:val="TableNormal"/>
    <w:uiPriority w:val="72"/>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Pr>
    <w:tcPr>
      <w:shd w:val="clear" w:color="auto" w:fill="DDF7FE" w:themeFill="text1" w:themeFillTint="19"/>
    </w:tcPr>
    <w:tblStylePr w:type="firstRow">
      <w:rPr>
        <w:b/>
        <w:bCs/>
        <w:color w:val="FFFEFF" w:themeColor="background1"/>
      </w:rPr>
      <w:tblPr/>
      <w:tcPr>
        <w:tcBorders>
          <w:bottom w:val="single" w:sz="12" w:space="0" w:color="FFFEFF" w:themeColor="background1"/>
        </w:tcBorders>
        <w:shd w:val="clear" w:color="auto" w:fill="06253C" w:themeFill="accent2" w:themeFillShade="CC"/>
      </w:tcPr>
    </w:tblStylePr>
    <w:tblStylePr w:type="lastRow">
      <w:rPr>
        <w:b/>
        <w:bCs/>
        <w:color w:val="06253C" w:themeColor="accent2" w:themeShade="CC"/>
      </w:rPr>
      <w:tblPr/>
      <w:tcPr>
        <w:tcBorders>
          <w:top w:val="single" w:sz="12" w:space="0" w:color="057995" w:themeColor="text1"/>
        </w:tcBorders>
        <w:shd w:val="clear" w:color="auto" w:fill="FFFE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ECFC" w:themeFill="text1" w:themeFillTint="3F"/>
      </w:tcPr>
    </w:tblStylePr>
    <w:tblStylePr w:type="band1Horz">
      <w:tblPr/>
      <w:tcPr>
        <w:shd w:val="clear" w:color="auto" w:fill="B9EFFC" w:themeFill="text1" w:themeFillTint="33"/>
      </w:tcPr>
    </w:tblStylePr>
  </w:style>
  <w:style w:type="table" w:styleId="ColorfulList-Accent1">
    <w:name w:val="Colorful List Accent 1"/>
    <w:basedOn w:val="TableNormal"/>
    <w:uiPriority w:val="72"/>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Pr>
    <w:tcPr>
      <w:shd w:val="clear" w:color="auto" w:fill="DDF7FE" w:themeFill="accent1" w:themeFillTint="19"/>
    </w:tcPr>
    <w:tblStylePr w:type="firstRow">
      <w:rPr>
        <w:b/>
        <w:bCs/>
        <w:color w:val="FFFEFF" w:themeColor="background1"/>
      </w:rPr>
      <w:tblPr/>
      <w:tcPr>
        <w:tcBorders>
          <w:bottom w:val="single" w:sz="12" w:space="0" w:color="FFFEFF" w:themeColor="background1"/>
        </w:tcBorders>
        <w:shd w:val="clear" w:color="auto" w:fill="06253C" w:themeFill="accent2" w:themeFillShade="CC"/>
      </w:tcPr>
    </w:tblStylePr>
    <w:tblStylePr w:type="lastRow">
      <w:rPr>
        <w:b/>
        <w:bCs/>
        <w:color w:val="06253C" w:themeColor="accent2" w:themeShade="CC"/>
      </w:rPr>
      <w:tblPr/>
      <w:tcPr>
        <w:tcBorders>
          <w:top w:val="single" w:sz="12" w:space="0" w:color="057995" w:themeColor="text1"/>
        </w:tcBorders>
        <w:shd w:val="clear" w:color="auto" w:fill="FFFE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ECFC" w:themeFill="accent1" w:themeFillTint="3F"/>
      </w:tcPr>
    </w:tblStylePr>
    <w:tblStylePr w:type="band1Horz">
      <w:tblPr/>
      <w:tcPr>
        <w:shd w:val="clear" w:color="auto" w:fill="B9EFFC" w:themeFill="accent1" w:themeFillTint="33"/>
      </w:tcPr>
    </w:tblStylePr>
  </w:style>
  <w:style w:type="table" w:styleId="ColorfulList-Accent2">
    <w:name w:val="Colorful List Accent 2"/>
    <w:basedOn w:val="TableNormal"/>
    <w:uiPriority w:val="72"/>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Pr>
    <w:tcPr>
      <w:shd w:val="clear" w:color="auto" w:fill="D9ECFB" w:themeFill="accent2" w:themeFillTint="19"/>
    </w:tcPr>
    <w:tblStylePr w:type="firstRow">
      <w:rPr>
        <w:b/>
        <w:bCs/>
        <w:color w:val="FFFEFF" w:themeColor="background1"/>
      </w:rPr>
      <w:tblPr/>
      <w:tcPr>
        <w:tcBorders>
          <w:bottom w:val="single" w:sz="12" w:space="0" w:color="FFFEFF" w:themeColor="background1"/>
        </w:tcBorders>
        <w:shd w:val="clear" w:color="auto" w:fill="06253C" w:themeFill="accent2" w:themeFillShade="CC"/>
      </w:tcPr>
    </w:tblStylePr>
    <w:tblStylePr w:type="lastRow">
      <w:rPr>
        <w:b/>
        <w:bCs/>
        <w:color w:val="06253C" w:themeColor="accent2" w:themeShade="CC"/>
      </w:rPr>
      <w:tblPr/>
      <w:tcPr>
        <w:tcBorders>
          <w:top w:val="single" w:sz="12" w:space="0" w:color="057995" w:themeColor="text1"/>
        </w:tcBorders>
        <w:shd w:val="clear" w:color="auto" w:fill="FFFE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D0F5" w:themeFill="accent2" w:themeFillTint="3F"/>
      </w:tcPr>
    </w:tblStylePr>
    <w:tblStylePr w:type="band1Horz">
      <w:tblPr/>
      <w:tcPr>
        <w:shd w:val="clear" w:color="auto" w:fill="B1D9F7" w:themeFill="accent2" w:themeFillTint="33"/>
      </w:tcPr>
    </w:tblStylePr>
  </w:style>
  <w:style w:type="table" w:styleId="ColorfulList-Accent3">
    <w:name w:val="Colorful List Accent 3"/>
    <w:basedOn w:val="TableNormal"/>
    <w:uiPriority w:val="72"/>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Pr>
    <w:tcPr>
      <w:shd w:val="clear" w:color="auto" w:fill="FAE4EB" w:themeFill="accent3" w:themeFillTint="19"/>
    </w:tcPr>
    <w:tblStylePr w:type="firstRow">
      <w:rPr>
        <w:b/>
        <w:bCs/>
        <w:color w:val="FFFEFF" w:themeColor="background1"/>
      </w:rPr>
      <w:tblPr/>
      <w:tcPr>
        <w:tcBorders>
          <w:bottom w:val="single" w:sz="12" w:space="0" w:color="FFFEFF" w:themeColor="background1"/>
        </w:tcBorders>
        <w:shd w:val="clear" w:color="auto" w:fill="AD9E8C" w:themeFill="accent4" w:themeFillShade="CC"/>
      </w:tcPr>
    </w:tblStylePr>
    <w:tblStylePr w:type="lastRow">
      <w:rPr>
        <w:b/>
        <w:bCs/>
        <w:color w:val="AD9E8C" w:themeColor="accent4" w:themeShade="CC"/>
      </w:rPr>
      <w:tblPr/>
      <w:tcPr>
        <w:tcBorders>
          <w:top w:val="single" w:sz="12" w:space="0" w:color="057995" w:themeColor="text1"/>
        </w:tcBorders>
        <w:shd w:val="clear" w:color="auto" w:fill="FFFE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BCCE" w:themeFill="accent3" w:themeFillTint="3F"/>
      </w:tcPr>
    </w:tblStylePr>
    <w:tblStylePr w:type="band1Horz">
      <w:tblPr/>
      <w:tcPr>
        <w:shd w:val="clear" w:color="auto" w:fill="F5C8D7" w:themeFill="accent3" w:themeFillTint="33"/>
      </w:tcPr>
    </w:tblStylePr>
  </w:style>
  <w:style w:type="table" w:styleId="ColorfulList-Accent4">
    <w:name w:val="Colorful List Accent 4"/>
    <w:basedOn w:val="TableNormal"/>
    <w:uiPriority w:val="72"/>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Pr>
    <w:tcPr>
      <w:shd w:val="clear" w:color="auto" w:fill="FAF9F8" w:themeFill="accent4" w:themeFillTint="19"/>
    </w:tcPr>
    <w:tblStylePr w:type="firstRow">
      <w:rPr>
        <w:b/>
        <w:bCs/>
        <w:color w:val="FFFEFF" w:themeColor="background1"/>
      </w:rPr>
      <w:tblPr/>
      <w:tcPr>
        <w:tcBorders>
          <w:bottom w:val="single" w:sz="12" w:space="0" w:color="FFFEFF" w:themeColor="background1"/>
        </w:tcBorders>
        <w:shd w:val="clear" w:color="auto" w:fill="82173A" w:themeFill="accent3" w:themeFillShade="CC"/>
      </w:tcPr>
    </w:tblStylePr>
    <w:tblStylePr w:type="lastRow">
      <w:rPr>
        <w:b/>
        <w:bCs/>
        <w:color w:val="82173A" w:themeColor="accent3" w:themeShade="CC"/>
      </w:rPr>
      <w:tblPr/>
      <w:tcPr>
        <w:tcBorders>
          <w:top w:val="single" w:sz="12" w:space="0" w:color="057995" w:themeColor="text1"/>
        </w:tcBorders>
        <w:shd w:val="clear" w:color="auto" w:fill="FFFE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0ED" w:themeFill="accent4" w:themeFillTint="3F"/>
      </w:tcPr>
    </w:tblStylePr>
    <w:tblStylePr w:type="band1Horz">
      <w:tblPr/>
      <w:tcPr>
        <w:shd w:val="clear" w:color="auto" w:fill="F5F3F1" w:themeFill="accent4" w:themeFillTint="33"/>
      </w:tcPr>
    </w:tblStylePr>
  </w:style>
  <w:style w:type="table" w:styleId="ColorfulList-Accent5">
    <w:name w:val="Colorful List Accent 5"/>
    <w:basedOn w:val="TableNormal"/>
    <w:uiPriority w:val="72"/>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Pr>
    <w:tcPr>
      <w:shd w:val="clear" w:color="auto" w:fill="DDF7FE" w:themeFill="accent5" w:themeFillTint="19"/>
    </w:tcPr>
    <w:tblStylePr w:type="firstRow">
      <w:rPr>
        <w:b/>
        <w:bCs/>
        <w:color w:val="FFFEFF" w:themeColor="background1"/>
      </w:rPr>
      <w:tblPr/>
      <w:tcPr>
        <w:tcBorders>
          <w:bottom w:val="single" w:sz="12" w:space="0" w:color="FFFEFF" w:themeColor="background1"/>
        </w:tcBorders>
        <w:shd w:val="clear" w:color="auto" w:fill="06253C" w:themeFill="accent6" w:themeFillShade="CC"/>
      </w:tcPr>
    </w:tblStylePr>
    <w:tblStylePr w:type="lastRow">
      <w:rPr>
        <w:b/>
        <w:bCs/>
        <w:color w:val="06253C" w:themeColor="accent6" w:themeShade="CC"/>
      </w:rPr>
      <w:tblPr/>
      <w:tcPr>
        <w:tcBorders>
          <w:top w:val="single" w:sz="12" w:space="0" w:color="057995" w:themeColor="text1"/>
        </w:tcBorders>
        <w:shd w:val="clear" w:color="auto" w:fill="FFFE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ECFC" w:themeFill="accent5" w:themeFillTint="3F"/>
      </w:tcPr>
    </w:tblStylePr>
    <w:tblStylePr w:type="band1Horz">
      <w:tblPr/>
      <w:tcPr>
        <w:shd w:val="clear" w:color="auto" w:fill="B9EFFC" w:themeFill="accent5" w:themeFillTint="33"/>
      </w:tcPr>
    </w:tblStylePr>
  </w:style>
  <w:style w:type="table" w:styleId="ColorfulList-Accent6">
    <w:name w:val="Colorful List Accent 6"/>
    <w:basedOn w:val="TableNormal"/>
    <w:uiPriority w:val="72"/>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Pr>
    <w:tcPr>
      <w:shd w:val="clear" w:color="auto" w:fill="D9ECFB" w:themeFill="accent6" w:themeFillTint="19"/>
    </w:tcPr>
    <w:tblStylePr w:type="firstRow">
      <w:rPr>
        <w:b/>
        <w:bCs/>
        <w:color w:val="FFFEFF" w:themeColor="background1"/>
      </w:rPr>
      <w:tblPr/>
      <w:tcPr>
        <w:tcBorders>
          <w:bottom w:val="single" w:sz="12" w:space="0" w:color="FFFEFF" w:themeColor="background1"/>
        </w:tcBorders>
        <w:shd w:val="clear" w:color="auto" w:fill="046076" w:themeFill="accent5" w:themeFillShade="CC"/>
      </w:tcPr>
    </w:tblStylePr>
    <w:tblStylePr w:type="lastRow">
      <w:rPr>
        <w:b/>
        <w:bCs/>
        <w:color w:val="046076" w:themeColor="accent5" w:themeShade="CC"/>
      </w:rPr>
      <w:tblPr/>
      <w:tcPr>
        <w:tcBorders>
          <w:top w:val="single" w:sz="12" w:space="0" w:color="057995" w:themeColor="text1"/>
        </w:tcBorders>
        <w:shd w:val="clear" w:color="auto" w:fill="FFFE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D0F5" w:themeFill="accent6" w:themeFillTint="3F"/>
      </w:tcPr>
    </w:tblStylePr>
    <w:tblStylePr w:type="band1Horz">
      <w:tblPr/>
      <w:tcPr>
        <w:shd w:val="clear" w:color="auto" w:fill="B1D9F7" w:themeFill="accent6" w:themeFillTint="33"/>
      </w:tcPr>
    </w:tblStylePr>
  </w:style>
  <w:style w:type="table" w:styleId="ColorfulGrid">
    <w:name w:val="Colorful Grid"/>
    <w:basedOn w:val="TableNormal"/>
    <w:uiPriority w:val="73"/>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insideH w:val="single" w:sz="4" w:space="0" w:color="FFFEFF" w:themeColor="background1"/>
      </w:tblBorders>
    </w:tblPr>
    <w:tcPr>
      <w:shd w:val="clear" w:color="auto" w:fill="B9EFFC" w:themeFill="text1" w:themeFillTint="33"/>
    </w:tcPr>
    <w:tblStylePr w:type="firstRow">
      <w:rPr>
        <w:b/>
        <w:bCs/>
      </w:rPr>
      <w:tblPr/>
      <w:tcPr>
        <w:shd w:val="clear" w:color="auto" w:fill="74E0FA" w:themeFill="text1" w:themeFillTint="66"/>
      </w:tcPr>
    </w:tblStylePr>
    <w:tblStylePr w:type="lastRow">
      <w:rPr>
        <w:b/>
        <w:bCs/>
        <w:color w:val="057995" w:themeColor="text1"/>
      </w:rPr>
      <w:tblPr/>
      <w:tcPr>
        <w:shd w:val="clear" w:color="auto" w:fill="74E0FA" w:themeFill="text1" w:themeFillTint="66"/>
      </w:tcPr>
    </w:tblStylePr>
    <w:tblStylePr w:type="firstCol">
      <w:rPr>
        <w:color w:val="FFFEFF" w:themeColor="background1"/>
      </w:rPr>
      <w:tblPr/>
      <w:tcPr>
        <w:shd w:val="clear" w:color="auto" w:fill="035A6F" w:themeFill="text1" w:themeFillShade="BF"/>
      </w:tcPr>
    </w:tblStylePr>
    <w:tblStylePr w:type="lastCol">
      <w:rPr>
        <w:color w:val="FFFEFF" w:themeColor="background1"/>
      </w:rPr>
      <w:tblPr/>
      <w:tcPr>
        <w:shd w:val="clear" w:color="auto" w:fill="035A6F" w:themeFill="text1" w:themeFillShade="BF"/>
      </w:tcPr>
    </w:tblStylePr>
    <w:tblStylePr w:type="band1Vert">
      <w:tblPr/>
      <w:tcPr>
        <w:shd w:val="clear" w:color="auto" w:fill="53D8F9" w:themeFill="text1" w:themeFillTint="7F"/>
      </w:tcPr>
    </w:tblStylePr>
    <w:tblStylePr w:type="band1Horz">
      <w:tblPr/>
      <w:tcPr>
        <w:shd w:val="clear" w:color="auto" w:fill="53D8F9" w:themeFill="text1" w:themeFillTint="7F"/>
      </w:tcPr>
    </w:tblStylePr>
  </w:style>
  <w:style w:type="table" w:styleId="ColorfulGrid-Accent1">
    <w:name w:val="Colorful Grid Accent 1"/>
    <w:basedOn w:val="TableNormal"/>
    <w:uiPriority w:val="73"/>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insideH w:val="single" w:sz="4" w:space="0" w:color="FFFEFF" w:themeColor="background1"/>
      </w:tblBorders>
    </w:tblPr>
    <w:tcPr>
      <w:shd w:val="clear" w:color="auto" w:fill="B9EFFC" w:themeFill="accent1" w:themeFillTint="33"/>
    </w:tcPr>
    <w:tblStylePr w:type="firstRow">
      <w:rPr>
        <w:b/>
        <w:bCs/>
      </w:rPr>
      <w:tblPr/>
      <w:tcPr>
        <w:shd w:val="clear" w:color="auto" w:fill="74E0FA" w:themeFill="accent1" w:themeFillTint="66"/>
      </w:tcPr>
    </w:tblStylePr>
    <w:tblStylePr w:type="lastRow">
      <w:rPr>
        <w:b/>
        <w:bCs/>
        <w:color w:val="057995" w:themeColor="text1"/>
      </w:rPr>
      <w:tblPr/>
      <w:tcPr>
        <w:shd w:val="clear" w:color="auto" w:fill="74E0FA" w:themeFill="accent1" w:themeFillTint="66"/>
      </w:tcPr>
    </w:tblStylePr>
    <w:tblStylePr w:type="firstCol">
      <w:rPr>
        <w:color w:val="FFFEFF" w:themeColor="background1"/>
      </w:rPr>
      <w:tblPr/>
      <w:tcPr>
        <w:shd w:val="clear" w:color="auto" w:fill="035A6F" w:themeFill="accent1" w:themeFillShade="BF"/>
      </w:tcPr>
    </w:tblStylePr>
    <w:tblStylePr w:type="lastCol">
      <w:rPr>
        <w:color w:val="FFFEFF" w:themeColor="background1"/>
      </w:rPr>
      <w:tblPr/>
      <w:tcPr>
        <w:shd w:val="clear" w:color="auto" w:fill="035A6F" w:themeFill="accent1" w:themeFillShade="BF"/>
      </w:tcPr>
    </w:tblStylePr>
    <w:tblStylePr w:type="band1Vert">
      <w:tblPr/>
      <w:tcPr>
        <w:shd w:val="clear" w:color="auto" w:fill="53D8F9" w:themeFill="accent1" w:themeFillTint="7F"/>
      </w:tcPr>
    </w:tblStylePr>
    <w:tblStylePr w:type="band1Horz">
      <w:tblPr/>
      <w:tcPr>
        <w:shd w:val="clear" w:color="auto" w:fill="53D8F9" w:themeFill="accent1" w:themeFillTint="7F"/>
      </w:tcPr>
    </w:tblStylePr>
  </w:style>
  <w:style w:type="table" w:styleId="ColorfulGrid-Accent2">
    <w:name w:val="Colorful Grid Accent 2"/>
    <w:basedOn w:val="TableNormal"/>
    <w:uiPriority w:val="73"/>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insideH w:val="single" w:sz="4" w:space="0" w:color="FFFEFF" w:themeColor="background1"/>
      </w:tblBorders>
    </w:tblPr>
    <w:tcPr>
      <w:shd w:val="clear" w:color="auto" w:fill="B1D9F7" w:themeFill="accent2" w:themeFillTint="33"/>
    </w:tcPr>
    <w:tblStylePr w:type="firstRow">
      <w:rPr>
        <w:b/>
        <w:bCs/>
      </w:rPr>
      <w:tblPr/>
      <w:tcPr>
        <w:shd w:val="clear" w:color="auto" w:fill="64B3EE" w:themeFill="accent2" w:themeFillTint="66"/>
      </w:tcPr>
    </w:tblStylePr>
    <w:tblStylePr w:type="lastRow">
      <w:rPr>
        <w:b/>
        <w:bCs/>
        <w:color w:val="057995" w:themeColor="text1"/>
      </w:rPr>
      <w:tblPr/>
      <w:tcPr>
        <w:shd w:val="clear" w:color="auto" w:fill="64B3EE" w:themeFill="accent2" w:themeFillTint="66"/>
      </w:tcPr>
    </w:tblStylePr>
    <w:tblStylePr w:type="firstCol">
      <w:rPr>
        <w:color w:val="FFFEFF" w:themeColor="background1"/>
      </w:rPr>
      <w:tblPr/>
      <w:tcPr>
        <w:shd w:val="clear" w:color="auto" w:fill="062338" w:themeFill="accent2" w:themeFillShade="BF"/>
      </w:tcPr>
    </w:tblStylePr>
    <w:tblStylePr w:type="lastCol">
      <w:rPr>
        <w:color w:val="FFFEFF" w:themeColor="background1"/>
      </w:rPr>
      <w:tblPr/>
      <w:tcPr>
        <w:shd w:val="clear" w:color="auto" w:fill="062338" w:themeFill="accent2" w:themeFillShade="BF"/>
      </w:tcPr>
    </w:tblStylePr>
    <w:tblStylePr w:type="band1Vert">
      <w:tblPr/>
      <w:tcPr>
        <w:shd w:val="clear" w:color="auto" w:fill="3EA1EA" w:themeFill="accent2" w:themeFillTint="7F"/>
      </w:tcPr>
    </w:tblStylePr>
    <w:tblStylePr w:type="band1Horz">
      <w:tblPr/>
      <w:tcPr>
        <w:shd w:val="clear" w:color="auto" w:fill="3EA1EA" w:themeFill="accent2" w:themeFillTint="7F"/>
      </w:tcPr>
    </w:tblStylePr>
  </w:style>
  <w:style w:type="table" w:styleId="ColorfulGrid-Accent3">
    <w:name w:val="Colorful Grid Accent 3"/>
    <w:basedOn w:val="TableNormal"/>
    <w:uiPriority w:val="73"/>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insideH w:val="single" w:sz="4" w:space="0" w:color="FFFEFF" w:themeColor="background1"/>
      </w:tblBorders>
    </w:tblPr>
    <w:tcPr>
      <w:shd w:val="clear" w:color="auto" w:fill="F5C8D7" w:themeFill="accent3" w:themeFillTint="33"/>
    </w:tcPr>
    <w:tblStylePr w:type="firstRow">
      <w:rPr>
        <w:b/>
        <w:bCs/>
      </w:rPr>
      <w:tblPr/>
      <w:tcPr>
        <w:shd w:val="clear" w:color="auto" w:fill="EB92AF" w:themeFill="accent3" w:themeFillTint="66"/>
      </w:tcPr>
    </w:tblStylePr>
    <w:tblStylePr w:type="lastRow">
      <w:rPr>
        <w:b/>
        <w:bCs/>
        <w:color w:val="057995" w:themeColor="text1"/>
      </w:rPr>
      <w:tblPr/>
      <w:tcPr>
        <w:shd w:val="clear" w:color="auto" w:fill="EB92AF" w:themeFill="accent3" w:themeFillTint="66"/>
      </w:tcPr>
    </w:tblStylePr>
    <w:tblStylePr w:type="firstCol">
      <w:rPr>
        <w:color w:val="FFFEFF" w:themeColor="background1"/>
      </w:rPr>
      <w:tblPr/>
      <w:tcPr>
        <w:shd w:val="clear" w:color="auto" w:fill="791536" w:themeFill="accent3" w:themeFillShade="BF"/>
      </w:tcPr>
    </w:tblStylePr>
    <w:tblStylePr w:type="lastCol">
      <w:rPr>
        <w:color w:val="FFFEFF" w:themeColor="background1"/>
      </w:rPr>
      <w:tblPr/>
      <w:tcPr>
        <w:shd w:val="clear" w:color="auto" w:fill="791536" w:themeFill="accent3" w:themeFillShade="BF"/>
      </w:tcPr>
    </w:tblStylePr>
    <w:tblStylePr w:type="band1Vert">
      <w:tblPr/>
      <w:tcPr>
        <w:shd w:val="clear" w:color="auto" w:fill="E7789C" w:themeFill="accent3" w:themeFillTint="7F"/>
      </w:tcPr>
    </w:tblStylePr>
    <w:tblStylePr w:type="band1Horz">
      <w:tblPr/>
      <w:tcPr>
        <w:shd w:val="clear" w:color="auto" w:fill="E7789C" w:themeFill="accent3" w:themeFillTint="7F"/>
      </w:tcPr>
    </w:tblStylePr>
  </w:style>
  <w:style w:type="table" w:styleId="ColorfulGrid-Accent4">
    <w:name w:val="Colorful Grid Accent 4"/>
    <w:basedOn w:val="TableNormal"/>
    <w:uiPriority w:val="73"/>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insideH w:val="single" w:sz="4" w:space="0" w:color="FFFEFF" w:themeColor="background1"/>
      </w:tblBorders>
    </w:tblPr>
    <w:tcPr>
      <w:shd w:val="clear" w:color="auto" w:fill="F5F3F1" w:themeFill="accent4" w:themeFillTint="33"/>
    </w:tcPr>
    <w:tblStylePr w:type="firstRow">
      <w:rPr>
        <w:b/>
        <w:bCs/>
      </w:rPr>
      <w:tblPr/>
      <w:tcPr>
        <w:shd w:val="clear" w:color="auto" w:fill="EBE7E3" w:themeFill="accent4" w:themeFillTint="66"/>
      </w:tcPr>
    </w:tblStylePr>
    <w:tblStylePr w:type="lastRow">
      <w:rPr>
        <w:b/>
        <w:bCs/>
        <w:color w:val="057995" w:themeColor="text1"/>
      </w:rPr>
      <w:tblPr/>
      <w:tcPr>
        <w:shd w:val="clear" w:color="auto" w:fill="EBE7E3" w:themeFill="accent4" w:themeFillTint="66"/>
      </w:tcPr>
    </w:tblStylePr>
    <w:tblStylePr w:type="firstCol">
      <w:rPr>
        <w:color w:val="FFFEFF" w:themeColor="background1"/>
      </w:rPr>
      <w:tblPr/>
      <w:tcPr>
        <w:shd w:val="clear" w:color="auto" w:fill="A59480" w:themeFill="accent4" w:themeFillShade="BF"/>
      </w:tcPr>
    </w:tblStylePr>
    <w:tblStylePr w:type="lastCol">
      <w:rPr>
        <w:color w:val="FFFEFF" w:themeColor="background1"/>
      </w:rPr>
      <w:tblPr/>
      <w:tcPr>
        <w:shd w:val="clear" w:color="auto" w:fill="A59480" w:themeFill="accent4" w:themeFillShade="BF"/>
      </w:tcPr>
    </w:tblStylePr>
    <w:tblStylePr w:type="band1Vert">
      <w:tblPr/>
      <w:tcPr>
        <w:shd w:val="clear" w:color="auto" w:fill="E6E1DC" w:themeFill="accent4" w:themeFillTint="7F"/>
      </w:tcPr>
    </w:tblStylePr>
    <w:tblStylePr w:type="band1Horz">
      <w:tblPr/>
      <w:tcPr>
        <w:shd w:val="clear" w:color="auto" w:fill="E6E1DC" w:themeFill="accent4" w:themeFillTint="7F"/>
      </w:tcPr>
    </w:tblStylePr>
  </w:style>
  <w:style w:type="table" w:styleId="ColorfulGrid-Accent5">
    <w:name w:val="Colorful Grid Accent 5"/>
    <w:basedOn w:val="TableNormal"/>
    <w:uiPriority w:val="73"/>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insideH w:val="single" w:sz="4" w:space="0" w:color="FFFEFF" w:themeColor="background1"/>
      </w:tblBorders>
    </w:tblPr>
    <w:tcPr>
      <w:shd w:val="clear" w:color="auto" w:fill="B9EFFC" w:themeFill="accent5" w:themeFillTint="33"/>
    </w:tcPr>
    <w:tblStylePr w:type="firstRow">
      <w:rPr>
        <w:b/>
        <w:bCs/>
      </w:rPr>
      <w:tblPr/>
      <w:tcPr>
        <w:shd w:val="clear" w:color="auto" w:fill="74E0FA" w:themeFill="accent5" w:themeFillTint="66"/>
      </w:tcPr>
    </w:tblStylePr>
    <w:tblStylePr w:type="lastRow">
      <w:rPr>
        <w:b/>
        <w:bCs/>
        <w:color w:val="057995" w:themeColor="text1"/>
      </w:rPr>
      <w:tblPr/>
      <w:tcPr>
        <w:shd w:val="clear" w:color="auto" w:fill="74E0FA" w:themeFill="accent5" w:themeFillTint="66"/>
      </w:tcPr>
    </w:tblStylePr>
    <w:tblStylePr w:type="firstCol">
      <w:rPr>
        <w:color w:val="FFFEFF" w:themeColor="background1"/>
      </w:rPr>
      <w:tblPr/>
      <w:tcPr>
        <w:shd w:val="clear" w:color="auto" w:fill="035A6F" w:themeFill="accent5" w:themeFillShade="BF"/>
      </w:tcPr>
    </w:tblStylePr>
    <w:tblStylePr w:type="lastCol">
      <w:rPr>
        <w:color w:val="FFFEFF" w:themeColor="background1"/>
      </w:rPr>
      <w:tblPr/>
      <w:tcPr>
        <w:shd w:val="clear" w:color="auto" w:fill="035A6F" w:themeFill="accent5" w:themeFillShade="BF"/>
      </w:tcPr>
    </w:tblStylePr>
    <w:tblStylePr w:type="band1Vert">
      <w:tblPr/>
      <w:tcPr>
        <w:shd w:val="clear" w:color="auto" w:fill="53D8F9" w:themeFill="accent5" w:themeFillTint="7F"/>
      </w:tcPr>
    </w:tblStylePr>
    <w:tblStylePr w:type="band1Horz">
      <w:tblPr/>
      <w:tcPr>
        <w:shd w:val="clear" w:color="auto" w:fill="53D8F9" w:themeFill="accent5" w:themeFillTint="7F"/>
      </w:tcPr>
    </w:tblStylePr>
  </w:style>
  <w:style w:type="table" w:styleId="ColorfulGrid-Accent6">
    <w:name w:val="Colorful Grid Accent 6"/>
    <w:basedOn w:val="TableNormal"/>
    <w:uiPriority w:val="73"/>
    <w:rsid w:val="00B84943"/>
    <w:pPr>
      <w:spacing w:after="0" w:line="240" w:lineRule="auto"/>
    </w:pPr>
    <w:rPr>
      <w:rFonts w:eastAsiaTheme="minorEastAsia"/>
      <w:color w:val="057995" w:themeColor="text1"/>
      <w:kern w:val="0"/>
      <w:sz w:val="22"/>
      <w:szCs w:val="22"/>
      <w:lang w:val="en-US"/>
      <w14:ligatures w14:val="none"/>
    </w:rPr>
    <w:tblPr>
      <w:tblStyleRowBandSize w:val="1"/>
      <w:tblStyleColBandSize w:val="1"/>
      <w:tblBorders>
        <w:insideH w:val="single" w:sz="4" w:space="0" w:color="FFFEFF" w:themeColor="background1"/>
      </w:tblBorders>
    </w:tblPr>
    <w:tcPr>
      <w:shd w:val="clear" w:color="auto" w:fill="B1D9F7" w:themeFill="accent6" w:themeFillTint="33"/>
    </w:tcPr>
    <w:tblStylePr w:type="firstRow">
      <w:rPr>
        <w:b/>
        <w:bCs/>
      </w:rPr>
      <w:tblPr/>
      <w:tcPr>
        <w:shd w:val="clear" w:color="auto" w:fill="64B3EE" w:themeFill="accent6" w:themeFillTint="66"/>
      </w:tcPr>
    </w:tblStylePr>
    <w:tblStylePr w:type="lastRow">
      <w:rPr>
        <w:b/>
        <w:bCs/>
        <w:color w:val="057995" w:themeColor="text1"/>
      </w:rPr>
      <w:tblPr/>
      <w:tcPr>
        <w:shd w:val="clear" w:color="auto" w:fill="64B3EE" w:themeFill="accent6" w:themeFillTint="66"/>
      </w:tcPr>
    </w:tblStylePr>
    <w:tblStylePr w:type="firstCol">
      <w:rPr>
        <w:color w:val="FFFEFF" w:themeColor="background1"/>
      </w:rPr>
      <w:tblPr/>
      <w:tcPr>
        <w:shd w:val="clear" w:color="auto" w:fill="062338" w:themeFill="accent6" w:themeFillShade="BF"/>
      </w:tcPr>
    </w:tblStylePr>
    <w:tblStylePr w:type="lastCol">
      <w:rPr>
        <w:color w:val="FFFEFF" w:themeColor="background1"/>
      </w:rPr>
      <w:tblPr/>
      <w:tcPr>
        <w:shd w:val="clear" w:color="auto" w:fill="062338" w:themeFill="accent6" w:themeFillShade="BF"/>
      </w:tcPr>
    </w:tblStylePr>
    <w:tblStylePr w:type="band1Vert">
      <w:tblPr/>
      <w:tcPr>
        <w:shd w:val="clear" w:color="auto" w:fill="3EA1EA" w:themeFill="accent6" w:themeFillTint="7F"/>
      </w:tcPr>
    </w:tblStylePr>
    <w:tblStylePr w:type="band1Horz">
      <w:tblPr/>
      <w:tcPr>
        <w:shd w:val="clear" w:color="auto" w:fill="3EA1EA" w:themeFill="accent6" w:themeFillTint="7F"/>
      </w:tcPr>
    </w:tblStylePr>
  </w:style>
  <w:style w:type="character" w:styleId="Mention">
    <w:name w:val="Mention"/>
    <w:basedOn w:val="DefaultParagraphFont"/>
    <w:uiPriority w:val="99"/>
    <w:unhideWhenUsed/>
    <w:rsid w:val="0075170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plc.com.au/resources/lplc-article/arnecc-requirements-for-verification-of-identity-and-client-authorisation" TargetMode="External"/><Relationship Id="rId21" Type="http://schemas.openxmlformats.org/officeDocument/2006/relationships/hyperlink" Target="https://www.austlii.edu.au/cgi-bin/viewdoc/au/legis/vic/consol_act/sola1962100/s32i.html" TargetMode="External"/><Relationship Id="rId42" Type="http://schemas.openxmlformats.org/officeDocument/2006/relationships/hyperlink" Target="https://lplc.com.au/uploads/main/Resources/Seminar-handouts/GST-Withholding-flow-chart-2018-RMIV2.pdf" TargetMode="External"/><Relationship Id="rId47" Type="http://schemas.openxmlformats.org/officeDocument/2006/relationships/hyperlink" Target="https://lplctermscontracttool.vercel.app/" TargetMode="External"/><Relationship Id="rId63" Type="http://schemas.openxmlformats.org/officeDocument/2006/relationships/hyperlink" Target="https://www.austlii.edu.au/cgi-bin/viewdoc/au/legis/vic/consol_act/sola1962100/s10a.html" TargetMode="External"/><Relationship Id="rId68" Type="http://schemas.openxmlformats.org/officeDocument/2006/relationships/hyperlink" Target="https://www.consumer.vic.gov.au/housing/buying-and-selling-property/checklists/due-diligence" TargetMode="External"/><Relationship Id="rId84" Type="http://schemas.openxmlformats.org/officeDocument/2006/relationships/hyperlink" Target="https://www.austlii.edu.au/cgi-bin/viewdoc/au/legis/vic/consol_act/laaca1986322/" TargetMode="External"/><Relationship Id="rId89" Type="http://schemas.openxmlformats.org/officeDocument/2006/relationships/hyperlink" Target="https://www.austlii.edu.au/cgi-bin/viewdoc/au/legis/vic/consol_act/sola1962100/s32f.html" TargetMode="External"/><Relationship Id="rId16" Type="http://schemas.openxmlformats.org/officeDocument/2006/relationships/hyperlink" Target="https://www.austlii.edu.au/cgi-bin/viewdoc/au/legis/vic/consol_act/sola1962100/s32i.html" TargetMode="External"/><Relationship Id="rId107" Type="http://schemas.openxmlformats.org/officeDocument/2006/relationships/footer" Target="footer2.xml"/><Relationship Id="rId11" Type="http://schemas.openxmlformats.org/officeDocument/2006/relationships/hyperlink" Target="https://mapshare.vic.gov.au/mapsharevic/" TargetMode="External"/><Relationship Id="rId32" Type="http://schemas.openxmlformats.org/officeDocument/2006/relationships/hyperlink" Target="https://lplc.com.au/resources/lplc-article/why-you-should-not-sell-plus-gst-in-margin-scheme-supplies" TargetMode="External"/><Relationship Id="rId37" Type="http://schemas.openxmlformats.org/officeDocument/2006/relationships/hyperlink" Target="https://lplc.com.au/resources/checklists/gst" TargetMode="External"/><Relationship Id="rId53" Type="http://schemas.openxmlformats.org/officeDocument/2006/relationships/hyperlink" Target="https://www.austlii.edu.au/cgi-bin/viewdoc/au/legis/vic/consol_act/sola1962100/s10g.html" TargetMode="External"/><Relationship Id="rId58" Type="http://schemas.openxmlformats.org/officeDocument/2006/relationships/hyperlink" Target="https://www.austlii.edu.au/cgi-bin/viewdoc/au/legis/vic/consol_act/sola1962100/s12.html" TargetMode="External"/><Relationship Id="rId74" Type="http://schemas.openxmlformats.org/officeDocument/2006/relationships/hyperlink" Target="https://lplc.com.au/resources/webinars/owner-builders-and-the-section-32-how-the-law-changed-on-1-july" TargetMode="External"/><Relationship Id="rId79" Type="http://schemas.openxmlformats.org/officeDocument/2006/relationships/hyperlink" Target="https://www.austlii.edu.au/cgi-bin/viewdb/au/legis/vic/consol_reg/bisr2026492/" TargetMode="External"/><Relationship Id="rId102" Type="http://schemas.openxmlformats.org/officeDocument/2006/relationships/hyperlink" Target="https://www.austlii.edu.au/cgi-bin/viewdoc/au/legis/vic/consol_act/paea1987254/" TargetMode="External"/><Relationship Id="rId5" Type="http://schemas.openxmlformats.org/officeDocument/2006/relationships/numbering" Target="numbering.xml"/><Relationship Id="rId90" Type="http://schemas.openxmlformats.org/officeDocument/2006/relationships/hyperlink" Target="https://www.austlii.edu.au/cgi-bin/viewdoc/au/legis/vic/consol_act/oca2006260/s151.html" TargetMode="External"/><Relationship Id="rId95" Type="http://schemas.openxmlformats.org/officeDocument/2006/relationships/hyperlink" Target="https://www.consumer.vic.gov.au/housing/owners-corporations/rules/model-rules" TargetMode="External"/><Relationship Id="rId22" Type="http://schemas.openxmlformats.org/officeDocument/2006/relationships/hyperlink" Target="https://lplc.com.au/resources/lplc-article/section-32-statements-the-basics" TargetMode="External"/><Relationship Id="rId27" Type="http://schemas.openxmlformats.org/officeDocument/2006/relationships/hyperlink" Target="https://lplc.com.au/resources/lplc-article/land-dealing-certifications-need-to-be-taken-seriously" TargetMode="External"/><Relationship Id="rId43" Type="http://schemas.openxmlformats.org/officeDocument/2006/relationships/hyperlink" Target="capital%20gains%20withholdinghttps:/www.ato.gov.au/individuals-and-families/investments-and-assets/capital-gains-tax/foreign-residents-and-capital-gains-tax/foreign-resident-capital-gains-withholding" TargetMode="External"/><Relationship Id="rId48" Type="http://schemas.openxmlformats.org/officeDocument/2006/relationships/hyperlink" Target="https://lplc.com.au/resources/lplc-article/are-you-preparing-a-terms-contract" TargetMode="External"/><Relationship Id="rId64" Type="http://schemas.openxmlformats.org/officeDocument/2006/relationships/hyperlink" Target="https://www.austlii.edu.au/cgi-bin/viewdoc/au/legis/vic/consol_act/sola1962100/s10b.html" TargetMode="External"/><Relationship Id="rId69" Type="http://schemas.openxmlformats.org/officeDocument/2006/relationships/hyperlink" Target="https://www.austlii.edu.au/cgi-bin/viewdoc/au/legis/vic/consol_act/sola1962100/s32c.html" TargetMode="External"/><Relationship Id="rId80" Type="http://schemas.openxmlformats.org/officeDocument/2006/relationships/hyperlink" Target="https://www.bpc.vic.gov.au/builders/builders-insurance/dbi-approved-distributors" TargetMode="External"/><Relationship Id="rId85" Type="http://schemas.openxmlformats.org/officeDocument/2006/relationships/hyperlink" Target="https://www.austlii.edu.au/cgi-bin/viewdoc/au/legis/vic/consol_act/sola1962100/s32d.html" TargetMode="External"/><Relationship Id="rId12" Type="http://schemas.openxmlformats.org/officeDocument/2006/relationships/hyperlink" Target="https://www.austlii.edu.au/cgi-bin/viewdoc/au/legis/vic/consol_act/sola1962100/s29a.html" TargetMode="External"/><Relationship Id="rId17" Type="http://schemas.openxmlformats.org/officeDocument/2006/relationships/hyperlink" Target="https://www.land.vic.gov.au/land-registration/customer-information-bulletins/2024/228" TargetMode="External"/><Relationship Id="rId33" Type="http://schemas.openxmlformats.org/officeDocument/2006/relationships/hyperlink" Target="https://lplc.com.au/resources/checklists/gst" TargetMode="External"/><Relationship Id="rId38" Type="http://schemas.openxmlformats.org/officeDocument/2006/relationships/hyperlink" Target="https://www.ato.gov.au/businesses-and-organisations/gst-excise-and-indirect-taxes/gst/in-detail/your-industry/property/gst-at-settlement" TargetMode="External"/><Relationship Id="rId59" Type="http://schemas.openxmlformats.org/officeDocument/2006/relationships/hyperlink" Target="https://www.consumer.vic.gov.au/housing/buying-and-selling-property/selling-property/preparing-to-sell-your-property" TargetMode="External"/><Relationship Id="rId103" Type="http://schemas.openxmlformats.org/officeDocument/2006/relationships/hyperlink" Target="https://www.austlii.edu.au/cgi-bin/viewdoc/au/legis/vic/consol_act/sola1962100/s32h.html" TargetMode="External"/><Relationship Id="rId108" Type="http://schemas.openxmlformats.org/officeDocument/2006/relationships/footer" Target="footer3.xml"/><Relationship Id="rId54" Type="http://schemas.openxmlformats.org/officeDocument/2006/relationships/hyperlink" Target="https://www.austlii.edu.au/cgi-bin/viewdoc/au/legis/vic/consol_act/sola1962100/s10i.html" TargetMode="External"/><Relationship Id="rId70" Type="http://schemas.openxmlformats.org/officeDocument/2006/relationships/hyperlink" Target="https://lplc.com.au/resources/lplc-article/include-water-information-certificates" TargetMode="External"/><Relationship Id="rId75" Type="http://schemas.openxmlformats.org/officeDocument/2006/relationships/hyperlink" Target="https://www.austlii.edu.au/cgi-bin/viewdoc/au/legis/vic/consol_act/ba199391/s137b.html" TargetMode="External"/><Relationship Id="rId91" Type="http://schemas.openxmlformats.org/officeDocument/2006/relationships/hyperlink" Target="https://www.austlii.edu.au/cgi-bin/viewdoc/au/legis/vic/consol_act/oca2006260/s59.html" TargetMode="External"/><Relationship Id="rId96" Type="http://schemas.openxmlformats.org/officeDocument/2006/relationships/hyperlink" Target="https://lplc.com.au/resources/lplc-article/inactive-owners-corporations-are-they-reall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plc.com.au/resources/lplc-article/section-32-statements-the-basics" TargetMode="External"/><Relationship Id="rId23" Type="http://schemas.openxmlformats.org/officeDocument/2006/relationships/hyperlink" Target="https://lplc.com.au/resources/webinars/section-32-vendor-statements-avoiding-the-perils-and-pitfalls" TargetMode="External"/><Relationship Id="rId28" Type="http://schemas.openxmlformats.org/officeDocument/2006/relationships/hyperlink" Target="https://www.arnecc.gov.au/wp-content/uploads/2024/01/Model-Participation-Rules-Version-7-Clean.pdf" TargetMode="External"/><Relationship Id="rId36" Type="http://schemas.openxmlformats.org/officeDocument/2006/relationships/hyperlink" Target="https://lplc.com.au/resources/faq/farm-land" TargetMode="External"/><Relationship Id="rId49" Type="http://schemas.openxmlformats.org/officeDocument/2006/relationships/hyperlink" Target="https://www.austlii.edu.au/cgi-bin/viewdoc/au/legis/vic/consol_act/sola1962100/s29a.html" TargetMode="External"/><Relationship Id="rId57" Type="http://schemas.openxmlformats.org/officeDocument/2006/relationships/hyperlink" Target="https://www.austlii.edu.au/cgi-bin/viewdoc/au/legis/vic/consol_act/sola1962100/s10h.html" TargetMode="External"/><Relationship Id="rId106"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lplc.com.au/resources/faq/margin-scheme" TargetMode="External"/><Relationship Id="rId44" Type="http://schemas.openxmlformats.org/officeDocument/2006/relationships/hyperlink" Target="https://www.austlii.edu.au/cgi-bin/viewdoc/au/legis/vic/consol_act/sola1962100/s32c.html" TargetMode="External"/><Relationship Id="rId52" Type="http://schemas.openxmlformats.org/officeDocument/2006/relationships/hyperlink" Target="https://www.austlii.edu.au/cgi-bin/viewdoc/au/legis/vic/consol_act/sola1962100/sch2.html" TargetMode="External"/><Relationship Id="rId60" Type="http://schemas.openxmlformats.org/officeDocument/2006/relationships/hyperlink" Target="https://www.austlii.edu.au/cgi-bin/viewdoc/au/cases/vic/VCC/2025/1132.html" TargetMode="External"/><Relationship Id="rId65" Type="http://schemas.openxmlformats.org/officeDocument/2006/relationships/hyperlink" Target="https://www.austlii.edu.au/cgi-bin/viewdoc/au/legis/vic/consol_act/sola1962100/s10c.html" TargetMode="External"/><Relationship Id="rId73" Type="http://schemas.openxmlformats.org/officeDocument/2006/relationships/hyperlink" Target="https://lplc.com.au/resources/lplc-article/acting-for-a-vendor-changes-to-owner-builder-insurance-from-1-july-2026" TargetMode="External"/><Relationship Id="rId78" Type="http://schemas.openxmlformats.org/officeDocument/2006/relationships/hyperlink" Target="https://www.austlii.edu.au/cgi-bin/viewdoc/au/legis/vic/consol_act/sola1962100/s32b.html" TargetMode="External"/><Relationship Id="rId81" Type="http://schemas.openxmlformats.org/officeDocument/2006/relationships/hyperlink" Target="https://www.land.vic.gov.au/property-and-parcel-search" TargetMode="External"/><Relationship Id="rId86" Type="http://schemas.openxmlformats.org/officeDocument/2006/relationships/hyperlink" Target="https://www.austlii.edu.au/cgi-bin/viewdoc/au/legis/vic/consol_act/laaca1986322/" TargetMode="External"/><Relationship Id="rId94" Type="http://schemas.openxmlformats.org/officeDocument/2006/relationships/hyperlink" Target="https://www.austlii.edu.au/cgi-bin/viewdoc/au/legis/vic/consol_act/oca2006260/s63.html" TargetMode="External"/><Relationship Id="rId99" Type="http://schemas.openxmlformats.org/officeDocument/2006/relationships/hyperlink" Target="https://www.austlii.edu.au/cgi-bin/viewdoc/au/legis/vic/consol_act/sola1962100/s32g.html" TargetMode="External"/><Relationship Id="rId101" Type="http://schemas.openxmlformats.org/officeDocument/2006/relationships/hyperlink" Target="https://www.sro.vic.gov.au/businesses-and-organisations/property-developers/growth-areas-infrastructure-contribution"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ustlii.edu.au/cgi-bin/viewdoc/au/legis/vic/consol_act/sola1962100/s32a.html" TargetMode="External"/><Relationship Id="rId18" Type="http://schemas.openxmlformats.org/officeDocument/2006/relationships/hyperlink" Target="https://lplc.com.au/resources/lplc-article/conveyancing-of-accessory-or-car-park-lots-on-strata-plans-or-cluster-plans" TargetMode="External"/><Relationship Id="rId39" Type="http://schemas.openxmlformats.org/officeDocument/2006/relationships/hyperlink" Target="https://lplc.com.au/news-and-alerts/gst-withholding-practical-examples" TargetMode="External"/><Relationship Id="rId109" Type="http://schemas.openxmlformats.org/officeDocument/2006/relationships/fontTable" Target="fontTable.xml"/><Relationship Id="rId34" Type="http://schemas.openxmlformats.org/officeDocument/2006/relationships/hyperlink" Target="https://lplc.com.au/resources/lplc-article/gst-free-sale-of-a-going-concern" TargetMode="External"/><Relationship Id="rId50" Type="http://schemas.openxmlformats.org/officeDocument/2006/relationships/hyperlink" Target="https://www.austlii.edu.au/cgi-bin/viewdoc/au/legis/vic/consol_act/sola1962100/s32a.html" TargetMode="External"/><Relationship Id="rId55" Type="http://schemas.openxmlformats.org/officeDocument/2006/relationships/hyperlink" Target="http://www.austlii.edu.au/au/legis/vic/consol_act/caiptra2024472/" TargetMode="External"/><Relationship Id="rId76" Type="http://schemas.openxmlformats.org/officeDocument/2006/relationships/hyperlink" Target="https://www.austlii.edu.au/cgi-bin/viewdoc/au/legis/vic/consol_act/ba199391/s25b.html" TargetMode="External"/><Relationship Id="rId97" Type="http://schemas.openxmlformats.org/officeDocument/2006/relationships/hyperlink" Target="https://www.bing.com/search?q=Statement+of+advice+and++information+for+prospective+purchasers++and+lot+owners+&amp;form=ANNH02&amp;refig=6a7aa257d47644809c4938a502c34b1c&amp;pc=LCTS" TargetMode="External"/><Relationship Id="rId104" Type="http://schemas.openxmlformats.org/officeDocument/2006/relationships/hyperlink" Target="https://lplc.com.au/resources/webinars/section-32-vendor-statements-avoiding-the-perils-and-pitfalls" TargetMode="External"/><Relationship Id="rId7" Type="http://schemas.openxmlformats.org/officeDocument/2006/relationships/settings" Target="settings.xml"/><Relationship Id="rId71" Type="http://schemas.openxmlformats.org/officeDocument/2006/relationships/hyperlink" Target="https://www.austlii.edu.au/cgi-bin/viewdoc/au/legis/vic/consol_act/sola1962100/s32a.html" TargetMode="External"/><Relationship Id="rId92" Type="http://schemas.openxmlformats.org/officeDocument/2006/relationships/hyperlink" Target="https://www.austlii.edu.au/cgi-bin/viewdoc/au/legis/vic/consol_act/oca2006260/s60.html" TargetMode="External"/><Relationship Id="rId2" Type="http://schemas.openxmlformats.org/officeDocument/2006/relationships/customXml" Target="../customXml/item2.xml"/><Relationship Id="rId29" Type="http://schemas.openxmlformats.org/officeDocument/2006/relationships/hyperlink" Target="https://lplc.com.au/resources/checklists/gst" TargetMode="External"/><Relationship Id="rId24" Type="http://schemas.openxmlformats.org/officeDocument/2006/relationships/hyperlink" Target="https://www.austlii.edu.au/cgi-bin/viewdoc/au/legis/vic/consol_act/sola1962100/s32c.html" TargetMode="External"/><Relationship Id="rId40" Type="http://schemas.openxmlformats.org/officeDocument/2006/relationships/hyperlink" Target="https://lplc.com.au/resources/client-resources/vendor-supplier-gst-withholding-notice" TargetMode="External"/><Relationship Id="rId45" Type="http://schemas.openxmlformats.org/officeDocument/2006/relationships/hyperlink" Target="https://www.austlii.edu.au/cgi-bin/viewdoc/au/legis/vic/consol_act/sola1962100/s29a.html" TargetMode="External"/><Relationship Id="rId66" Type="http://schemas.openxmlformats.org/officeDocument/2006/relationships/hyperlink" Target="https://www.austlii.edu.au/cgi-bin/viewdoc/au/legis/vic/consol_act/sola1962100/s10e.html" TargetMode="External"/><Relationship Id="rId87" Type="http://schemas.openxmlformats.org/officeDocument/2006/relationships/hyperlink" Target="https://www.austlii.edu.au/cgi-bin/viewdoc/au/legis/vic/consol_act/sola1962100/s32e.html" TargetMode="External"/><Relationship Id="rId110" Type="http://schemas.openxmlformats.org/officeDocument/2006/relationships/theme" Target="theme/theme1.xml"/><Relationship Id="rId61" Type="http://schemas.openxmlformats.org/officeDocument/2006/relationships/hyperlink" Target="https://www.austlii.edu.au/cgi-bin/viewdoc/au/legis/vic/consol_act/sola1962100/s32i.html" TargetMode="External"/><Relationship Id="rId82" Type="http://schemas.openxmlformats.org/officeDocument/2006/relationships/hyperlink" Target="https://www.austlii.edu.au/cgi-bin/viewdoc/au/legis/vic/consol_act/sola1962100/s32c.html" TargetMode="External"/><Relationship Id="rId19" Type="http://schemas.openxmlformats.org/officeDocument/2006/relationships/hyperlink" Target="https://lplc.com.au/uploads/main/Guide-to-dealing-with-restricted-accessory-carpark-lots-June-2024-1.docx" TargetMode="External"/><Relationship Id="rId14" Type="http://schemas.openxmlformats.org/officeDocument/2006/relationships/hyperlink" Target="https://www.austlii.edu.au/cgi-bin/viewdoc/au/legis/vic/consol_act/sola1962100/s32a.html" TargetMode="External"/><Relationship Id="rId30" Type="http://schemas.openxmlformats.org/officeDocument/2006/relationships/hyperlink" Target="https://lplc.com.au/resources/practitioner/goods-and-services-tax" TargetMode="External"/><Relationship Id="rId35" Type="http://schemas.openxmlformats.org/officeDocument/2006/relationships/hyperlink" Target="https://lplc.com.au/resources/faq/going-concern" TargetMode="External"/><Relationship Id="rId56" Type="http://schemas.openxmlformats.org/officeDocument/2006/relationships/hyperlink" Target="https://www.consumer.vic.gov.au/housing/buying-and-selling-property/selling-property/conveyancing-and-contracts-for-sellers" TargetMode="External"/><Relationship Id="rId77" Type="http://schemas.openxmlformats.org/officeDocument/2006/relationships/hyperlink" Target="https://www.austlii.edu.au/cgi-bin/viewdoc/au/legis/vic/consol_act/ba199391/s137i.html" TargetMode="External"/><Relationship Id="rId100" Type="http://schemas.openxmlformats.org/officeDocument/2006/relationships/hyperlink" Target="https://lplc.com.au/resources/practitioner/growth-areas-infrastructure-contribution" TargetMode="External"/><Relationship Id="rId105"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austlii.edu.au/cgi-bin/viewdoc/au/legis/vic/consol_act/sola1962100/sch1.html" TargetMode="External"/><Relationship Id="rId72" Type="http://schemas.openxmlformats.org/officeDocument/2006/relationships/hyperlink" Target="https://lplc.com.au/resources/lplc-article/what-conveyancing-solicitors-need-to-know-about-the-congestion-levy" TargetMode="External"/><Relationship Id="rId93" Type="http://schemas.openxmlformats.org/officeDocument/2006/relationships/hyperlink" Target="https://www.austlii.edu.au/cgi-bin/viewdoc/au/legis/vic/consol_act/oca2006260/s61.html" TargetMode="External"/><Relationship Id="rId98" Type="http://schemas.openxmlformats.org/officeDocument/2006/relationships/hyperlink" Target="https://www.austlii.edu.au/cgi-bin/viewdoc/au/legis/vic/consol_reg/ocr2018369/sch3.html" TargetMode="External"/><Relationship Id="rId3" Type="http://schemas.openxmlformats.org/officeDocument/2006/relationships/customXml" Target="../customXml/item3.xml"/><Relationship Id="rId25" Type="http://schemas.openxmlformats.org/officeDocument/2006/relationships/hyperlink" Target="https://mapshare.vic.gov.au/mapsharevic/" TargetMode="External"/><Relationship Id="rId46" Type="http://schemas.openxmlformats.org/officeDocument/2006/relationships/hyperlink" Target="https://www.austlii.edu.au/cgi-bin/viewdoc/au/legis/vic/consol_act/sola1962100/s29a.html" TargetMode="External"/><Relationship Id="rId67" Type="http://schemas.openxmlformats.org/officeDocument/2006/relationships/hyperlink" Target="https://www.austlii.edu.au/cgi-bin/viewdoc/au/legis/vic/consol_act/sola1962100/s10f.html" TargetMode="External"/><Relationship Id="rId20" Type="http://schemas.openxmlformats.org/officeDocument/2006/relationships/hyperlink" Target="https://lplc.com.au/resources/lplc-article/determining-the-right-diagram-location-document" TargetMode="External"/><Relationship Id="rId41" Type="http://schemas.openxmlformats.org/officeDocument/2006/relationships/hyperlink" Target="https://lplc.com.au/resources/practitioner/goods-and-services-tax" TargetMode="External"/><Relationship Id="rId62" Type="http://schemas.openxmlformats.org/officeDocument/2006/relationships/hyperlink" Target="https://www.elawforms.com.au/Law_Institute_of_Victoria/Property" TargetMode="External"/><Relationship Id="rId83" Type="http://schemas.openxmlformats.org/officeDocument/2006/relationships/hyperlink" Target="https://www.austlii.edu.au/cgi-bin/viewdoc/au/legis/vic/consol_act/sola1962100/s32c.html" TargetMode="External"/><Relationship Id="rId88" Type="http://schemas.openxmlformats.org/officeDocument/2006/relationships/hyperlink" Target="https://lplc.com.au/resources/lplc-article/council-building-information-certificates-and-section-32-statements" TargetMode="External"/><Relationship Id="rId111"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lplcvic.sharepoint.com/sites/LPLCTemplates/LPLC%20Templates/General/LPLC_Blank%20Document%20Template.dotx" TargetMode="External"/></Relationships>
</file>

<file path=word/documenttasks/documenttasks1.xml><?xml version="1.0" encoding="utf-8"?>
<t:Tasks xmlns:t="http://schemas.microsoft.com/office/tasks/2019/documenttasks" xmlns:oel="http://schemas.microsoft.com/office/2019/extlst">
  <t:Task id="{3DF9A732-0316-40B5-9DF6-740E99A4749E}">
    <t:Anchor>
      <t:Comment id="1205724843"/>
    </t:Anchor>
    <t:History>
      <t:Event id="{209CB348-F873-481A-B20A-1B0B5176FDAE}" time="2026-08-27T22:50:03.358Z">
        <t:Attribution userId="S::jamie.mccallum@lplc.com.au::abd0f6ae-861f-441c-9dd6-816726476d8b" userProvider="AD" userName="Jamie McCallum"/>
        <t:Anchor>
          <t:Comment id="1205724843"/>
        </t:Anchor>
        <t:Create/>
      </t:Event>
      <t:Event id="{EA08D9BA-F5F8-4E11-ADFD-86711A815485}" time="2026-08-27T22:50:03.358Z">
        <t:Attribution userId="S::jamie.mccallum@lplc.com.au::abd0f6ae-861f-441c-9dd6-816726476d8b" userProvider="AD" userName="Jamie McCallum"/>
        <t:Anchor>
          <t:Comment id="1205724843"/>
        </t:Anchor>
        <t:Assign userId="S::jodie.potts@lplc.com.au::87e31b0b-a19a-4c25-b27d-95d009795ad0" userProvider="AD" userName="Jodie Potts"/>
      </t:Event>
      <t:Event id="{3F07FA0E-EBB0-4437-8B63-8A0B6B59CFC6}" time="2026-08-27T22:50:03.358Z">
        <t:Attribution userId="S::jamie.mccallum@lplc.com.au::abd0f6ae-861f-441c-9dd6-816726476d8b" userProvider="AD" userName="Jamie McCallum"/>
        <t:Anchor>
          <t:Comment id="1205724843"/>
        </t:Anchor>
        <t:SetTitle title="@Jodie Potts, I have amended the language in this paragraph, in light of the tone that we have use in the promo emails for September."/>
      </t:Event>
    </t:History>
  </t:Task>
</t:Tasks>
</file>

<file path=word/theme/theme1.xml><?xml version="1.0" encoding="utf-8"?>
<a:theme xmlns:a="http://schemas.openxmlformats.org/drawingml/2006/main" name="Office Theme">
  <a:themeElements>
    <a:clrScheme name="LPLC Colours">
      <a:dk1>
        <a:srgbClr val="057995"/>
      </a:dk1>
      <a:lt1>
        <a:srgbClr val="FFFEFF"/>
      </a:lt1>
      <a:dk2>
        <a:srgbClr val="082F4C"/>
      </a:dk2>
      <a:lt2>
        <a:srgbClr val="CEC5BA"/>
      </a:lt2>
      <a:accent1>
        <a:srgbClr val="057995"/>
      </a:accent1>
      <a:accent2>
        <a:srgbClr val="082F4C"/>
      </a:accent2>
      <a:accent3>
        <a:srgbClr val="A31D49"/>
      </a:accent3>
      <a:accent4>
        <a:srgbClr val="CEC5BA"/>
      </a:accent4>
      <a:accent5>
        <a:srgbClr val="057995"/>
      </a:accent5>
      <a:accent6>
        <a:srgbClr val="082F4C"/>
      </a:accent6>
      <a:hlink>
        <a:srgbClr val="A31D49"/>
      </a:hlink>
      <a:folHlink>
        <a:srgbClr val="CEC5BA"/>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D52A38C262D24394E6EA607DD7C96F" ma:contentTypeVersion="13" ma:contentTypeDescription="Create a new document." ma:contentTypeScope="" ma:versionID="de50d84abe8b4d92582200911d7bcac3">
  <xsd:schema xmlns:xsd="http://www.w3.org/2001/XMLSchema" xmlns:xs="http://www.w3.org/2001/XMLSchema" xmlns:p="http://schemas.microsoft.com/office/2006/metadata/properties" xmlns:ns2="daa32af0-db39-4c95-aea3-df7a5f66fe51" xmlns:ns3="15a97f53-8e7e-44eb-a9fb-ad056732cc8d" targetNamespace="http://schemas.microsoft.com/office/2006/metadata/properties" ma:root="true" ma:fieldsID="a64e3408014e95e67a3a4d0dad94ef56" ns2:_="" ns3:_="">
    <xsd:import namespace="daa32af0-db39-4c95-aea3-df7a5f66fe51"/>
    <xsd:import namespace="15a97f53-8e7e-44eb-a9fb-ad056732cc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32af0-db39-4c95-aea3-df7a5f66f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abf879-7c7c-47c3-8186-3f7fe74030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a97f53-8e7e-44eb-a9fb-ad056732cc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def55be-03db-43db-a8bf-9ed4b98c75e7}" ma:internalName="TaxCatchAll" ma:showField="CatchAllData" ma:web="797ad8f5-d4c3-4547-9282-4b4e3ae32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a32af0-db39-4c95-aea3-df7a5f66fe51">
      <Terms xmlns="http://schemas.microsoft.com/office/infopath/2007/PartnerControls"/>
    </lcf76f155ced4ddcb4097134ff3c332f>
    <TaxCatchAll xmlns="15a97f53-8e7e-44eb-a9fb-ad056732cc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0CFAA-DFD6-4D12-A599-6DD55ECC0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32af0-db39-4c95-aea3-df7a5f66fe51"/>
    <ds:schemaRef ds:uri="15a97f53-8e7e-44eb-a9fb-ad056732c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85D4C5-2C00-449C-88A7-BDFE2035C2C4}">
  <ds:schemaRefs>
    <ds:schemaRef ds:uri="http://schemas.microsoft.com/office/2006/metadata/properties"/>
    <ds:schemaRef ds:uri="http://schemas.microsoft.com/office/infopath/2007/PartnerControls"/>
    <ds:schemaRef ds:uri="daa32af0-db39-4c95-aea3-df7a5f66fe51"/>
    <ds:schemaRef ds:uri="15a97f53-8e7e-44eb-a9fb-ad056732cc8d"/>
  </ds:schemaRefs>
</ds:datastoreItem>
</file>

<file path=customXml/itemProps3.xml><?xml version="1.0" encoding="utf-8"?>
<ds:datastoreItem xmlns:ds="http://schemas.openxmlformats.org/officeDocument/2006/customXml" ds:itemID="{FD06DDF6-BA74-4A4D-9EA4-FA16607A4FE7}">
  <ds:schemaRefs>
    <ds:schemaRef ds:uri="http://schemas.microsoft.com/sharepoint/v3/contenttype/forms"/>
  </ds:schemaRefs>
</ds:datastoreItem>
</file>

<file path=customXml/itemProps4.xml><?xml version="1.0" encoding="utf-8"?>
<ds:datastoreItem xmlns:ds="http://schemas.openxmlformats.org/officeDocument/2006/customXml" ds:itemID="{3EDD0CB7-C070-324E-BAFB-B89850941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LPLC_Blank%20Document%20Template</Template>
  <TotalTime>50</TotalTime>
  <Pages>20</Pages>
  <Words>11972</Words>
  <Characters>53279</Characters>
  <Application>Microsoft Office Word</Application>
  <DocSecurity>0</DocSecurity>
  <Lines>2537</Lines>
  <Paragraphs>1673</Paragraphs>
  <ScaleCrop>false</ScaleCrop>
  <Company/>
  <LinksUpToDate>false</LinksUpToDate>
  <CharactersWithSpaces>63578</CharactersWithSpaces>
  <SharedDoc>false</SharedDoc>
  <HLinks>
    <vt:vector size="546" baseType="variant">
      <vt:variant>
        <vt:i4>196726</vt:i4>
      </vt:variant>
      <vt:variant>
        <vt:i4>270</vt:i4>
      </vt:variant>
      <vt:variant>
        <vt:i4>0</vt:i4>
      </vt:variant>
      <vt:variant>
        <vt:i4>5</vt:i4>
      </vt:variant>
      <vt:variant>
        <vt:lpwstr>https://www.austlii.edu.au/cgi-bin/viewdoc/au/legis/vic/consol_act/sola1962100/s32h.html</vt:lpwstr>
      </vt:variant>
      <vt:variant>
        <vt:lpwstr/>
      </vt:variant>
      <vt:variant>
        <vt:i4>7798793</vt:i4>
      </vt:variant>
      <vt:variant>
        <vt:i4>267</vt:i4>
      </vt:variant>
      <vt:variant>
        <vt:i4>0</vt:i4>
      </vt:variant>
      <vt:variant>
        <vt:i4>5</vt:i4>
      </vt:variant>
      <vt:variant>
        <vt:lpwstr>https://www.austlii.edu.au/cgi-bin/viewdoc/au/legis/vic/consol_act/paea1987254/</vt:lpwstr>
      </vt:variant>
      <vt:variant>
        <vt:lpwstr/>
      </vt:variant>
      <vt:variant>
        <vt:i4>5701706</vt:i4>
      </vt:variant>
      <vt:variant>
        <vt:i4>264</vt:i4>
      </vt:variant>
      <vt:variant>
        <vt:i4>0</vt:i4>
      </vt:variant>
      <vt:variant>
        <vt:i4>5</vt:i4>
      </vt:variant>
      <vt:variant>
        <vt:lpwstr>https://www.sro.vic.gov.au/businesses-and-organisations/property-developers/growth-areas-infrastructure-contribution</vt:lpwstr>
      </vt:variant>
      <vt:variant>
        <vt:lpwstr/>
      </vt:variant>
      <vt:variant>
        <vt:i4>7995450</vt:i4>
      </vt:variant>
      <vt:variant>
        <vt:i4>261</vt:i4>
      </vt:variant>
      <vt:variant>
        <vt:i4>0</vt:i4>
      </vt:variant>
      <vt:variant>
        <vt:i4>5</vt:i4>
      </vt:variant>
      <vt:variant>
        <vt:lpwstr>https://lplc.com.au/resources/practitioner/growth-areas-infrastructure-contribution</vt:lpwstr>
      </vt:variant>
      <vt:variant>
        <vt:lpwstr/>
      </vt:variant>
      <vt:variant>
        <vt:i4>196729</vt:i4>
      </vt:variant>
      <vt:variant>
        <vt:i4>258</vt:i4>
      </vt:variant>
      <vt:variant>
        <vt:i4>0</vt:i4>
      </vt:variant>
      <vt:variant>
        <vt:i4>5</vt:i4>
      </vt:variant>
      <vt:variant>
        <vt:lpwstr>https://www.austlii.edu.au/cgi-bin/viewdoc/au/legis/vic/consol_act/sola1962100/s32g.html</vt:lpwstr>
      </vt:variant>
      <vt:variant>
        <vt:lpwstr/>
      </vt:variant>
      <vt:variant>
        <vt:i4>3407903</vt:i4>
      </vt:variant>
      <vt:variant>
        <vt:i4>255</vt:i4>
      </vt:variant>
      <vt:variant>
        <vt:i4>0</vt:i4>
      </vt:variant>
      <vt:variant>
        <vt:i4>5</vt:i4>
      </vt:variant>
      <vt:variant>
        <vt:lpwstr>https://www.austlii.edu.au/cgi-bin/viewdoc/au/legis/vic/consol_reg/ocr2018369/sch3.html</vt:lpwstr>
      </vt:variant>
      <vt:variant>
        <vt:lpwstr/>
      </vt:variant>
      <vt:variant>
        <vt:i4>5570625</vt:i4>
      </vt:variant>
      <vt:variant>
        <vt:i4>252</vt:i4>
      </vt:variant>
      <vt:variant>
        <vt:i4>0</vt:i4>
      </vt:variant>
      <vt:variant>
        <vt:i4>5</vt:i4>
      </vt:variant>
      <vt:variant>
        <vt:lpwstr>https://www.bing.com/search?q=Statement+of+advice+and++information+for+prospective+purchasers++and+lot+owners+&amp;form=ANNH02&amp;refig=6a7aa257d47644809c4938a502c34b1c&amp;pc=LCTS</vt:lpwstr>
      </vt:variant>
      <vt:variant>
        <vt:lpwstr/>
      </vt:variant>
      <vt:variant>
        <vt:i4>3276832</vt:i4>
      </vt:variant>
      <vt:variant>
        <vt:i4>249</vt:i4>
      </vt:variant>
      <vt:variant>
        <vt:i4>0</vt:i4>
      </vt:variant>
      <vt:variant>
        <vt:i4>5</vt:i4>
      </vt:variant>
      <vt:variant>
        <vt:lpwstr>https://lplc.com.au/resources/lplc-article/inactive-owners-corporations-are-they-really</vt:lpwstr>
      </vt:variant>
      <vt:variant>
        <vt:lpwstr/>
      </vt:variant>
      <vt:variant>
        <vt:i4>131166</vt:i4>
      </vt:variant>
      <vt:variant>
        <vt:i4>246</vt:i4>
      </vt:variant>
      <vt:variant>
        <vt:i4>0</vt:i4>
      </vt:variant>
      <vt:variant>
        <vt:i4>5</vt:i4>
      </vt:variant>
      <vt:variant>
        <vt:lpwstr>https://www.consumer.vic.gov.au/housing/owners-corporations/rules/model-rules</vt:lpwstr>
      </vt:variant>
      <vt:variant>
        <vt:lpwstr/>
      </vt:variant>
      <vt:variant>
        <vt:i4>8126484</vt:i4>
      </vt:variant>
      <vt:variant>
        <vt:i4>243</vt:i4>
      </vt:variant>
      <vt:variant>
        <vt:i4>0</vt:i4>
      </vt:variant>
      <vt:variant>
        <vt:i4>5</vt:i4>
      </vt:variant>
      <vt:variant>
        <vt:lpwstr>https://www.austlii.edu.au/cgi-bin/viewdoc/au/legis/vic/consol_act/oca2006260/s63.html</vt:lpwstr>
      </vt:variant>
      <vt:variant>
        <vt:lpwstr/>
      </vt:variant>
      <vt:variant>
        <vt:i4>8126486</vt:i4>
      </vt:variant>
      <vt:variant>
        <vt:i4>240</vt:i4>
      </vt:variant>
      <vt:variant>
        <vt:i4>0</vt:i4>
      </vt:variant>
      <vt:variant>
        <vt:i4>5</vt:i4>
      </vt:variant>
      <vt:variant>
        <vt:lpwstr>https://www.austlii.edu.au/cgi-bin/viewdoc/au/legis/vic/consol_act/oca2006260/s61.html</vt:lpwstr>
      </vt:variant>
      <vt:variant>
        <vt:lpwstr/>
      </vt:variant>
      <vt:variant>
        <vt:i4>8126487</vt:i4>
      </vt:variant>
      <vt:variant>
        <vt:i4>237</vt:i4>
      </vt:variant>
      <vt:variant>
        <vt:i4>0</vt:i4>
      </vt:variant>
      <vt:variant>
        <vt:i4>5</vt:i4>
      </vt:variant>
      <vt:variant>
        <vt:lpwstr>https://www.austlii.edu.au/cgi-bin/viewdoc/au/legis/vic/consol_act/oca2006260/s60.html</vt:lpwstr>
      </vt:variant>
      <vt:variant>
        <vt:lpwstr/>
      </vt:variant>
      <vt:variant>
        <vt:i4>8323102</vt:i4>
      </vt:variant>
      <vt:variant>
        <vt:i4>234</vt:i4>
      </vt:variant>
      <vt:variant>
        <vt:i4>0</vt:i4>
      </vt:variant>
      <vt:variant>
        <vt:i4>5</vt:i4>
      </vt:variant>
      <vt:variant>
        <vt:lpwstr>https://www.austlii.edu.au/cgi-bin/viewdoc/au/legis/vic/consol_act/oca2006260/s59.html</vt:lpwstr>
      </vt:variant>
      <vt:variant>
        <vt:lpwstr/>
      </vt:variant>
      <vt:variant>
        <vt:i4>7929933</vt:i4>
      </vt:variant>
      <vt:variant>
        <vt:i4>231</vt:i4>
      </vt:variant>
      <vt:variant>
        <vt:i4>0</vt:i4>
      </vt:variant>
      <vt:variant>
        <vt:i4>5</vt:i4>
      </vt:variant>
      <vt:variant>
        <vt:lpwstr>https://www.austlii.edu.au/cgi-bin/viewdoc/au/legis/vic/consol_act/oca2006260/s151.html</vt:lpwstr>
      </vt:variant>
      <vt:variant>
        <vt:lpwstr/>
      </vt:variant>
      <vt:variant>
        <vt:i4>196728</vt:i4>
      </vt:variant>
      <vt:variant>
        <vt:i4>228</vt:i4>
      </vt:variant>
      <vt:variant>
        <vt:i4>0</vt:i4>
      </vt:variant>
      <vt:variant>
        <vt:i4>5</vt:i4>
      </vt:variant>
      <vt:variant>
        <vt:lpwstr>https://www.austlii.edu.au/cgi-bin/viewdoc/au/legis/vic/consol_act/sola1962100/s32f.html</vt:lpwstr>
      </vt:variant>
      <vt:variant>
        <vt:lpwstr/>
      </vt:variant>
      <vt:variant>
        <vt:i4>7340158</vt:i4>
      </vt:variant>
      <vt:variant>
        <vt:i4>225</vt:i4>
      </vt:variant>
      <vt:variant>
        <vt:i4>0</vt:i4>
      </vt:variant>
      <vt:variant>
        <vt:i4>5</vt:i4>
      </vt:variant>
      <vt:variant>
        <vt:lpwstr>https://lplc.com.au/resources/lplc-article/council-building-information-certificates-and-section-32-statements</vt:lpwstr>
      </vt:variant>
      <vt:variant>
        <vt:lpwstr/>
      </vt:variant>
      <vt:variant>
        <vt:i4>196731</vt:i4>
      </vt:variant>
      <vt:variant>
        <vt:i4>222</vt:i4>
      </vt:variant>
      <vt:variant>
        <vt:i4>0</vt:i4>
      </vt:variant>
      <vt:variant>
        <vt:i4>5</vt:i4>
      </vt:variant>
      <vt:variant>
        <vt:lpwstr>https://www.austlii.edu.au/cgi-bin/viewdoc/au/legis/vic/consol_act/sola1962100/s32e.html</vt:lpwstr>
      </vt:variant>
      <vt:variant>
        <vt:lpwstr/>
      </vt:variant>
      <vt:variant>
        <vt:i4>1245240</vt:i4>
      </vt:variant>
      <vt:variant>
        <vt:i4>219</vt:i4>
      </vt:variant>
      <vt:variant>
        <vt:i4>0</vt:i4>
      </vt:variant>
      <vt:variant>
        <vt:i4>5</vt:i4>
      </vt:variant>
      <vt:variant>
        <vt:lpwstr>https://www.austlii.edu.au/cgi-bin/viewdoc/au/legis/vic/consol_act/laaca1986322/</vt:lpwstr>
      </vt:variant>
      <vt:variant>
        <vt:lpwstr/>
      </vt:variant>
      <vt:variant>
        <vt:i4>196730</vt:i4>
      </vt:variant>
      <vt:variant>
        <vt:i4>216</vt:i4>
      </vt:variant>
      <vt:variant>
        <vt:i4>0</vt:i4>
      </vt:variant>
      <vt:variant>
        <vt:i4>5</vt:i4>
      </vt:variant>
      <vt:variant>
        <vt:lpwstr>https://www.austlii.edu.au/cgi-bin/viewdoc/au/legis/vic/consol_act/sola1962100/s32d.html</vt:lpwstr>
      </vt:variant>
      <vt:variant>
        <vt:lpwstr/>
      </vt:variant>
      <vt:variant>
        <vt:i4>1245240</vt:i4>
      </vt:variant>
      <vt:variant>
        <vt:i4>213</vt:i4>
      </vt:variant>
      <vt:variant>
        <vt:i4>0</vt:i4>
      </vt:variant>
      <vt:variant>
        <vt:i4>5</vt:i4>
      </vt:variant>
      <vt:variant>
        <vt:lpwstr>https://www.austlii.edu.au/cgi-bin/viewdoc/au/legis/vic/consol_act/laaca1986322/</vt:lpwstr>
      </vt:variant>
      <vt:variant>
        <vt:lpwstr/>
      </vt:variant>
      <vt:variant>
        <vt:i4>196733</vt:i4>
      </vt:variant>
      <vt:variant>
        <vt:i4>210</vt:i4>
      </vt:variant>
      <vt:variant>
        <vt:i4>0</vt:i4>
      </vt:variant>
      <vt:variant>
        <vt:i4>5</vt:i4>
      </vt:variant>
      <vt:variant>
        <vt:lpwstr>https://www.austlii.edu.au/cgi-bin/viewdoc/au/legis/vic/consol_act/sola1962100/s32c.html</vt:lpwstr>
      </vt:variant>
      <vt:variant>
        <vt:lpwstr/>
      </vt:variant>
      <vt:variant>
        <vt:i4>196733</vt:i4>
      </vt:variant>
      <vt:variant>
        <vt:i4>207</vt:i4>
      </vt:variant>
      <vt:variant>
        <vt:i4>0</vt:i4>
      </vt:variant>
      <vt:variant>
        <vt:i4>5</vt:i4>
      </vt:variant>
      <vt:variant>
        <vt:lpwstr>https://www.austlii.edu.au/cgi-bin/viewdoc/au/legis/vic/consol_act/sola1962100/s32c.html</vt:lpwstr>
      </vt:variant>
      <vt:variant>
        <vt:lpwstr/>
      </vt:variant>
      <vt:variant>
        <vt:i4>4063328</vt:i4>
      </vt:variant>
      <vt:variant>
        <vt:i4>204</vt:i4>
      </vt:variant>
      <vt:variant>
        <vt:i4>0</vt:i4>
      </vt:variant>
      <vt:variant>
        <vt:i4>5</vt:i4>
      </vt:variant>
      <vt:variant>
        <vt:lpwstr>https://www.land.vic.gov.au/property-and-parcel-search</vt:lpwstr>
      </vt:variant>
      <vt:variant>
        <vt:lpwstr/>
      </vt:variant>
      <vt:variant>
        <vt:i4>1900636</vt:i4>
      </vt:variant>
      <vt:variant>
        <vt:i4>201</vt:i4>
      </vt:variant>
      <vt:variant>
        <vt:i4>0</vt:i4>
      </vt:variant>
      <vt:variant>
        <vt:i4>5</vt:i4>
      </vt:variant>
      <vt:variant>
        <vt:lpwstr>https://www.bpc.vic.gov.au/builders/builders-insurance/dbi-approved-distributors</vt:lpwstr>
      </vt:variant>
      <vt:variant>
        <vt:lpwstr/>
      </vt:variant>
      <vt:variant>
        <vt:i4>720928</vt:i4>
      </vt:variant>
      <vt:variant>
        <vt:i4>198</vt:i4>
      </vt:variant>
      <vt:variant>
        <vt:i4>0</vt:i4>
      </vt:variant>
      <vt:variant>
        <vt:i4>5</vt:i4>
      </vt:variant>
      <vt:variant>
        <vt:lpwstr>https://www.austlii.edu.au/cgi-bin/viewdb/au/legis/vic/consol_reg/bisr2026492/</vt:lpwstr>
      </vt:variant>
      <vt:variant>
        <vt:lpwstr/>
      </vt:variant>
      <vt:variant>
        <vt:i4>196732</vt:i4>
      </vt:variant>
      <vt:variant>
        <vt:i4>195</vt:i4>
      </vt:variant>
      <vt:variant>
        <vt:i4>0</vt:i4>
      </vt:variant>
      <vt:variant>
        <vt:i4>5</vt:i4>
      </vt:variant>
      <vt:variant>
        <vt:lpwstr>https://www.austlii.edu.au/cgi-bin/viewdoc/au/legis/vic/consol_act/sola1962100/s32b.html</vt:lpwstr>
      </vt:variant>
      <vt:variant>
        <vt:lpwstr/>
      </vt:variant>
      <vt:variant>
        <vt:i4>2162756</vt:i4>
      </vt:variant>
      <vt:variant>
        <vt:i4>192</vt:i4>
      </vt:variant>
      <vt:variant>
        <vt:i4>0</vt:i4>
      </vt:variant>
      <vt:variant>
        <vt:i4>5</vt:i4>
      </vt:variant>
      <vt:variant>
        <vt:lpwstr>https://www.austlii.edu.au/cgi-bin/viewdoc/au/legis/vic/consol_act/ba199391/s137i.html</vt:lpwstr>
      </vt:variant>
      <vt:variant>
        <vt:lpwstr/>
      </vt:variant>
      <vt:variant>
        <vt:i4>4456564</vt:i4>
      </vt:variant>
      <vt:variant>
        <vt:i4>189</vt:i4>
      </vt:variant>
      <vt:variant>
        <vt:i4>0</vt:i4>
      </vt:variant>
      <vt:variant>
        <vt:i4>5</vt:i4>
      </vt:variant>
      <vt:variant>
        <vt:lpwstr>https://www.austlii.edu.au/cgi-bin/viewdoc/au/legis/vic/consol_act/ba199391/s25b.html</vt:lpwstr>
      </vt:variant>
      <vt:variant>
        <vt:lpwstr/>
      </vt:variant>
      <vt:variant>
        <vt:i4>2162767</vt:i4>
      </vt:variant>
      <vt:variant>
        <vt:i4>186</vt:i4>
      </vt:variant>
      <vt:variant>
        <vt:i4>0</vt:i4>
      </vt:variant>
      <vt:variant>
        <vt:i4>5</vt:i4>
      </vt:variant>
      <vt:variant>
        <vt:lpwstr>https://www.austlii.edu.au/cgi-bin/viewdoc/au/legis/vic/consol_act/ba199391/s137b.html</vt:lpwstr>
      </vt:variant>
      <vt:variant>
        <vt:lpwstr/>
      </vt:variant>
      <vt:variant>
        <vt:i4>3997801</vt:i4>
      </vt:variant>
      <vt:variant>
        <vt:i4>183</vt:i4>
      </vt:variant>
      <vt:variant>
        <vt:i4>0</vt:i4>
      </vt:variant>
      <vt:variant>
        <vt:i4>5</vt:i4>
      </vt:variant>
      <vt:variant>
        <vt:lpwstr>https://lplc.com.au/resources/webinars/owner-builders-and-the-section-32-how-the-law-changed-on-1-july</vt:lpwstr>
      </vt:variant>
      <vt:variant>
        <vt:lpwstr/>
      </vt:variant>
      <vt:variant>
        <vt:i4>2883616</vt:i4>
      </vt:variant>
      <vt:variant>
        <vt:i4>180</vt:i4>
      </vt:variant>
      <vt:variant>
        <vt:i4>0</vt:i4>
      </vt:variant>
      <vt:variant>
        <vt:i4>5</vt:i4>
      </vt:variant>
      <vt:variant>
        <vt:lpwstr>https://lplc.com.au/resources/lplc-article/acting-for-a-vendor-changes-to-owner-builder-insurance-from-1-july-2026</vt:lpwstr>
      </vt:variant>
      <vt:variant>
        <vt:lpwstr/>
      </vt:variant>
      <vt:variant>
        <vt:i4>7602292</vt:i4>
      </vt:variant>
      <vt:variant>
        <vt:i4>177</vt:i4>
      </vt:variant>
      <vt:variant>
        <vt:i4>0</vt:i4>
      </vt:variant>
      <vt:variant>
        <vt:i4>5</vt:i4>
      </vt:variant>
      <vt:variant>
        <vt:lpwstr>https://lplc.com.au/resources/lplc-article/what-conveyancing-solicitors-need-to-know-about-the-congestion-levy</vt:lpwstr>
      </vt:variant>
      <vt:variant>
        <vt:lpwstr/>
      </vt:variant>
      <vt:variant>
        <vt:i4>196735</vt:i4>
      </vt:variant>
      <vt:variant>
        <vt:i4>174</vt:i4>
      </vt:variant>
      <vt:variant>
        <vt:i4>0</vt:i4>
      </vt:variant>
      <vt:variant>
        <vt:i4>5</vt:i4>
      </vt:variant>
      <vt:variant>
        <vt:lpwstr>https://www.austlii.edu.au/cgi-bin/viewdoc/au/legis/vic/consol_act/sola1962100/s32a.html</vt:lpwstr>
      </vt:variant>
      <vt:variant>
        <vt:lpwstr/>
      </vt:variant>
      <vt:variant>
        <vt:i4>1376275</vt:i4>
      </vt:variant>
      <vt:variant>
        <vt:i4>171</vt:i4>
      </vt:variant>
      <vt:variant>
        <vt:i4>0</vt:i4>
      </vt:variant>
      <vt:variant>
        <vt:i4>5</vt:i4>
      </vt:variant>
      <vt:variant>
        <vt:lpwstr>https://lplc.com.au/resources/lplc-article/include-water-information-certificates</vt:lpwstr>
      </vt:variant>
      <vt:variant>
        <vt:lpwstr/>
      </vt:variant>
      <vt:variant>
        <vt:i4>196733</vt:i4>
      </vt:variant>
      <vt:variant>
        <vt:i4>168</vt:i4>
      </vt:variant>
      <vt:variant>
        <vt:i4>0</vt:i4>
      </vt:variant>
      <vt:variant>
        <vt:i4>5</vt:i4>
      </vt:variant>
      <vt:variant>
        <vt:lpwstr>https://www.austlii.edu.au/cgi-bin/viewdoc/au/legis/vic/consol_act/sola1962100/s32c.html</vt:lpwstr>
      </vt:variant>
      <vt:variant>
        <vt:lpwstr/>
      </vt:variant>
      <vt:variant>
        <vt:i4>1048650</vt:i4>
      </vt:variant>
      <vt:variant>
        <vt:i4>165</vt:i4>
      </vt:variant>
      <vt:variant>
        <vt:i4>0</vt:i4>
      </vt:variant>
      <vt:variant>
        <vt:i4>5</vt:i4>
      </vt:variant>
      <vt:variant>
        <vt:lpwstr>https://www.consumer.vic.gov.au/housing/buying-and-selling-property/checklists/due-diligence</vt:lpwstr>
      </vt:variant>
      <vt:variant>
        <vt:lpwstr/>
      </vt:variant>
      <vt:variant>
        <vt:i4>65658</vt:i4>
      </vt:variant>
      <vt:variant>
        <vt:i4>162</vt:i4>
      </vt:variant>
      <vt:variant>
        <vt:i4>0</vt:i4>
      </vt:variant>
      <vt:variant>
        <vt:i4>5</vt:i4>
      </vt:variant>
      <vt:variant>
        <vt:lpwstr>https://www.austlii.edu.au/cgi-bin/viewdoc/au/legis/vic/consol_act/sola1962100/s10f.html</vt:lpwstr>
      </vt:variant>
      <vt:variant>
        <vt:lpwstr/>
      </vt:variant>
      <vt:variant>
        <vt:i4>65657</vt:i4>
      </vt:variant>
      <vt:variant>
        <vt:i4>159</vt:i4>
      </vt:variant>
      <vt:variant>
        <vt:i4>0</vt:i4>
      </vt:variant>
      <vt:variant>
        <vt:i4>5</vt:i4>
      </vt:variant>
      <vt:variant>
        <vt:lpwstr>https://www.austlii.edu.au/cgi-bin/viewdoc/au/legis/vic/consol_act/sola1962100/s10e.html</vt:lpwstr>
      </vt:variant>
      <vt:variant>
        <vt:lpwstr/>
      </vt:variant>
      <vt:variant>
        <vt:i4>65663</vt:i4>
      </vt:variant>
      <vt:variant>
        <vt:i4>156</vt:i4>
      </vt:variant>
      <vt:variant>
        <vt:i4>0</vt:i4>
      </vt:variant>
      <vt:variant>
        <vt:i4>5</vt:i4>
      </vt:variant>
      <vt:variant>
        <vt:lpwstr>https://www.austlii.edu.au/cgi-bin/viewdoc/au/legis/vic/consol_act/sola1962100/s10c.html</vt:lpwstr>
      </vt:variant>
      <vt:variant>
        <vt:lpwstr/>
      </vt:variant>
      <vt:variant>
        <vt:i4>65662</vt:i4>
      </vt:variant>
      <vt:variant>
        <vt:i4>153</vt:i4>
      </vt:variant>
      <vt:variant>
        <vt:i4>0</vt:i4>
      </vt:variant>
      <vt:variant>
        <vt:i4>5</vt:i4>
      </vt:variant>
      <vt:variant>
        <vt:lpwstr>https://www.austlii.edu.au/cgi-bin/viewdoc/au/legis/vic/consol_act/sola1962100/s10b.html</vt:lpwstr>
      </vt:variant>
      <vt:variant>
        <vt:lpwstr/>
      </vt:variant>
      <vt:variant>
        <vt:i4>65661</vt:i4>
      </vt:variant>
      <vt:variant>
        <vt:i4>150</vt:i4>
      </vt:variant>
      <vt:variant>
        <vt:i4>0</vt:i4>
      </vt:variant>
      <vt:variant>
        <vt:i4>5</vt:i4>
      </vt:variant>
      <vt:variant>
        <vt:lpwstr>https://www.austlii.edu.au/cgi-bin/viewdoc/au/legis/vic/consol_act/sola1962100/s10a.html</vt:lpwstr>
      </vt:variant>
      <vt:variant>
        <vt:lpwstr/>
      </vt:variant>
      <vt:variant>
        <vt:i4>196658</vt:i4>
      </vt:variant>
      <vt:variant>
        <vt:i4>147</vt:i4>
      </vt:variant>
      <vt:variant>
        <vt:i4>0</vt:i4>
      </vt:variant>
      <vt:variant>
        <vt:i4>5</vt:i4>
      </vt:variant>
      <vt:variant>
        <vt:lpwstr>https://www.elawforms.com.au/Law_Institute_of_Victoria/Property</vt:lpwstr>
      </vt:variant>
      <vt:variant>
        <vt:lpwstr/>
      </vt:variant>
      <vt:variant>
        <vt:i4>196727</vt:i4>
      </vt:variant>
      <vt:variant>
        <vt:i4>144</vt:i4>
      </vt:variant>
      <vt:variant>
        <vt:i4>0</vt:i4>
      </vt:variant>
      <vt:variant>
        <vt:i4>5</vt:i4>
      </vt:variant>
      <vt:variant>
        <vt:lpwstr>https://www.austlii.edu.au/cgi-bin/viewdoc/au/legis/vic/consol_act/sola1962100/s32i.html</vt:lpwstr>
      </vt:variant>
      <vt:variant>
        <vt:lpwstr/>
      </vt:variant>
      <vt:variant>
        <vt:i4>8192100</vt:i4>
      </vt:variant>
      <vt:variant>
        <vt:i4>141</vt:i4>
      </vt:variant>
      <vt:variant>
        <vt:i4>0</vt:i4>
      </vt:variant>
      <vt:variant>
        <vt:i4>5</vt:i4>
      </vt:variant>
      <vt:variant>
        <vt:lpwstr>https://www.austlii.edu.au/cgi-bin/viewdoc/au/cases/vic/VCC/2025/1132.html</vt:lpwstr>
      </vt:variant>
      <vt:variant>
        <vt:lpwstr/>
      </vt:variant>
      <vt:variant>
        <vt:i4>5439494</vt:i4>
      </vt:variant>
      <vt:variant>
        <vt:i4>138</vt:i4>
      </vt:variant>
      <vt:variant>
        <vt:i4>0</vt:i4>
      </vt:variant>
      <vt:variant>
        <vt:i4>5</vt:i4>
      </vt:variant>
      <vt:variant>
        <vt:lpwstr>https://www.consumer.vic.gov.au/housing/buying-and-selling-property/selling-property/preparing-to-sell-your-property</vt:lpwstr>
      </vt:variant>
      <vt:variant>
        <vt:lpwstr/>
      </vt:variant>
      <vt:variant>
        <vt:i4>3145795</vt:i4>
      </vt:variant>
      <vt:variant>
        <vt:i4>135</vt:i4>
      </vt:variant>
      <vt:variant>
        <vt:i4>0</vt:i4>
      </vt:variant>
      <vt:variant>
        <vt:i4>5</vt:i4>
      </vt:variant>
      <vt:variant>
        <vt:lpwstr>https://www.austlii.edu.au/cgi-bin/viewdoc/au/legis/vic/consol_act/sola1962100/s12.html</vt:lpwstr>
      </vt:variant>
      <vt:variant>
        <vt:lpwstr/>
      </vt:variant>
      <vt:variant>
        <vt:i4>65652</vt:i4>
      </vt:variant>
      <vt:variant>
        <vt:i4>132</vt:i4>
      </vt:variant>
      <vt:variant>
        <vt:i4>0</vt:i4>
      </vt:variant>
      <vt:variant>
        <vt:i4>5</vt:i4>
      </vt:variant>
      <vt:variant>
        <vt:lpwstr>https://www.austlii.edu.au/cgi-bin/viewdoc/au/legis/vic/consol_act/sola1962100/s10h.html</vt:lpwstr>
      </vt:variant>
      <vt:variant>
        <vt:lpwstr/>
      </vt:variant>
      <vt:variant>
        <vt:i4>2162815</vt:i4>
      </vt:variant>
      <vt:variant>
        <vt:i4>129</vt:i4>
      </vt:variant>
      <vt:variant>
        <vt:i4>0</vt:i4>
      </vt:variant>
      <vt:variant>
        <vt:i4>5</vt:i4>
      </vt:variant>
      <vt:variant>
        <vt:lpwstr>https://www.consumer.vic.gov.au/housing/buying-and-selling-property/selling-property/conveyancing-and-contracts-for-sellers</vt:lpwstr>
      </vt:variant>
      <vt:variant>
        <vt:lpwstr/>
      </vt:variant>
      <vt:variant>
        <vt:i4>7209035</vt:i4>
      </vt:variant>
      <vt:variant>
        <vt:i4>126</vt:i4>
      </vt:variant>
      <vt:variant>
        <vt:i4>0</vt:i4>
      </vt:variant>
      <vt:variant>
        <vt:i4>5</vt:i4>
      </vt:variant>
      <vt:variant>
        <vt:lpwstr>http://www.austlii.edu.au/au/legis/vic/consol_act/caiptra2024472/</vt:lpwstr>
      </vt:variant>
      <vt:variant>
        <vt:lpwstr/>
      </vt:variant>
      <vt:variant>
        <vt:i4>65653</vt:i4>
      </vt:variant>
      <vt:variant>
        <vt:i4>123</vt:i4>
      </vt:variant>
      <vt:variant>
        <vt:i4>0</vt:i4>
      </vt:variant>
      <vt:variant>
        <vt:i4>5</vt:i4>
      </vt:variant>
      <vt:variant>
        <vt:lpwstr>https://www.austlii.edu.au/cgi-bin/viewdoc/au/legis/vic/consol_act/sola1962100/s10i.html</vt:lpwstr>
      </vt:variant>
      <vt:variant>
        <vt:lpwstr/>
      </vt:variant>
      <vt:variant>
        <vt:i4>65659</vt:i4>
      </vt:variant>
      <vt:variant>
        <vt:i4>120</vt:i4>
      </vt:variant>
      <vt:variant>
        <vt:i4>0</vt:i4>
      </vt:variant>
      <vt:variant>
        <vt:i4>5</vt:i4>
      </vt:variant>
      <vt:variant>
        <vt:lpwstr>https://www.austlii.edu.au/cgi-bin/viewdoc/au/legis/vic/consol_act/sola1962100/s10g.html</vt:lpwstr>
      </vt:variant>
      <vt:variant>
        <vt:lpwstr/>
      </vt:variant>
      <vt:variant>
        <vt:i4>5832828</vt:i4>
      </vt:variant>
      <vt:variant>
        <vt:i4>117</vt:i4>
      </vt:variant>
      <vt:variant>
        <vt:i4>0</vt:i4>
      </vt:variant>
      <vt:variant>
        <vt:i4>5</vt:i4>
      </vt:variant>
      <vt:variant>
        <vt:lpwstr>https://www.austlii.edu.au/cgi-bin/viewdoc/au/legis/vic/consol_act/sola1962100/sch2.html</vt:lpwstr>
      </vt:variant>
      <vt:variant>
        <vt:lpwstr/>
      </vt:variant>
      <vt:variant>
        <vt:i4>5832831</vt:i4>
      </vt:variant>
      <vt:variant>
        <vt:i4>114</vt:i4>
      </vt:variant>
      <vt:variant>
        <vt:i4>0</vt:i4>
      </vt:variant>
      <vt:variant>
        <vt:i4>5</vt:i4>
      </vt:variant>
      <vt:variant>
        <vt:lpwstr>https://www.austlii.edu.au/cgi-bin/viewdoc/au/legis/vic/consol_act/sola1962100/sch1.html</vt:lpwstr>
      </vt:variant>
      <vt:variant>
        <vt:lpwstr/>
      </vt:variant>
      <vt:variant>
        <vt:i4>196735</vt:i4>
      </vt:variant>
      <vt:variant>
        <vt:i4>111</vt:i4>
      </vt:variant>
      <vt:variant>
        <vt:i4>0</vt:i4>
      </vt:variant>
      <vt:variant>
        <vt:i4>5</vt:i4>
      </vt:variant>
      <vt:variant>
        <vt:lpwstr>https://www.austlii.edu.au/cgi-bin/viewdoc/au/legis/vic/consol_act/sola1962100/s32a.html</vt:lpwstr>
      </vt:variant>
      <vt:variant>
        <vt:lpwstr/>
      </vt:variant>
      <vt:variant>
        <vt:i4>524414</vt:i4>
      </vt:variant>
      <vt:variant>
        <vt:i4>108</vt:i4>
      </vt:variant>
      <vt:variant>
        <vt:i4>0</vt:i4>
      </vt:variant>
      <vt:variant>
        <vt:i4>5</vt:i4>
      </vt:variant>
      <vt:variant>
        <vt:lpwstr>https://www.austlii.edu.au/cgi-bin/viewdoc/au/legis/vic/consol_act/sola1962100/s29a.html</vt:lpwstr>
      </vt:variant>
      <vt:variant>
        <vt:lpwstr/>
      </vt:variant>
      <vt:variant>
        <vt:i4>655383</vt:i4>
      </vt:variant>
      <vt:variant>
        <vt:i4>105</vt:i4>
      </vt:variant>
      <vt:variant>
        <vt:i4>0</vt:i4>
      </vt:variant>
      <vt:variant>
        <vt:i4>5</vt:i4>
      </vt:variant>
      <vt:variant>
        <vt:lpwstr>https://lplc.com.au/resources/lplc-article/are-you-preparing-a-terms-contract</vt:lpwstr>
      </vt:variant>
      <vt:variant>
        <vt:lpwstr/>
      </vt:variant>
      <vt:variant>
        <vt:i4>5767175</vt:i4>
      </vt:variant>
      <vt:variant>
        <vt:i4>102</vt:i4>
      </vt:variant>
      <vt:variant>
        <vt:i4>0</vt:i4>
      </vt:variant>
      <vt:variant>
        <vt:i4>5</vt:i4>
      </vt:variant>
      <vt:variant>
        <vt:lpwstr>https://lplctermscontracttool.vercel.app/</vt:lpwstr>
      </vt:variant>
      <vt:variant>
        <vt:lpwstr/>
      </vt:variant>
      <vt:variant>
        <vt:i4>3997814</vt:i4>
      </vt:variant>
      <vt:variant>
        <vt:i4>99</vt:i4>
      </vt:variant>
      <vt:variant>
        <vt:i4>0</vt:i4>
      </vt:variant>
      <vt:variant>
        <vt:i4>5</vt:i4>
      </vt:variant>
      <vt:variant>
        <vt:lpwstr>https://www.austlii.edu.au/cgi-bin/viewdoc/au/legis/vic/consol_act/sola1962100/s29a.html</vt:lpwstr>
      </vt:variant>
      <vt:variant>
        <vt:lpwstr>final_payment</vt:lpwstr>
      </vt:variant>
      <vt:variant>
        <vt:i4>7012377</vt:i4>
      </vt:variant>
      <vt:variant>
        <vt:i4>96</vt:i4>
      </vt:variant>
      <vt:variant>
        <vt:i4>0</vt:i4>
      </vt:variant>
      <vt:variant>
        <vt:i4>5</vt:i4>
      </vt:variant>
      <vt:variant>
        <vt:lpwstr>https://www.austlii.edu.au/cgi-bin/viewdoc/au/legis/vic/consol_act/sola1962100/s29a.html</vt:lpwstr>
      </vt:variant>
      <vt:variant>
        <vt:lpwstr>deposit</vt:lpwstr>
      </vt:variant>
      <vt:variant>
        <vt:i4>196733</vt:i4>
      </vt:variant>
      <vt:variant>
        <vt:i4>93</vt:i4>
      </vt:variant>
      <vt:variant>
        <vt:i4>0</vt:i4>
      </vt:variant>
      <vt:variant>
        <vt:i4>5</vt:i4>
      </vt:variant>
      <vt:variant>
        <vt:lpwstr>https://www.austlii.edu.au/cgi-bin/viewdoc/au/legis/vic/consol_act/sola1962100/s32c.html</vt:lpwstr>
      </vt:variant>
      <vt:variant>
        <vt:lpwstr/>
      </vt:variant>
      <vt:variant>
        <vt:i4>7077949</vt:i4>
      </vt:variant>
      <vt:variant>
        <vt:i4>90</vt:i4>
      </vt:variant>
      <vt:variant>
        <vt:i4>0</vt:i4>
      </vt:variant>
      <vt:variant>
        <vt:i4>5</vt:i4>
      </vt:variant>
      <vt:variant>
        <vt:lpwstr>capital gains withholdinghttps:/www.ato.gov.au/individuals-and-families/investments-and-assets/capital-gains-tax/foreign-residents-and-capital-gains-tax/foreign-resident-capital-gains-withholding</vt:lpwstr>
      </vt:variant>
      <vt:variant>
        <vt:lpwstr/>
      </vt:variant>
      <vt:variant>
        <vt:i4>4718675</vt:i4>
      </vt:variant>
      <vt:variant>
        <vt:i4>87</vt:i4>
      </vt:variant>
      <vt:variant>
        <vt:i4>0</vt:i4>
      </vt:variant>
      <vt:variant>
        <vt:i4>5</vt:i4>
      </vt:variant>
      <vt:variant>
        <vt:lpwstr>https://lplc.com.au/uploads/main/Resources/Seminar-handouts/GST-Withholding-flow-chart-2018-RMIV2.pdf</vt:lpwstr>
      </vt:variant>
      <vt:variant>
        <vt:lpwstr/>
      </vt:variant>
      <vt:variant>
        <vt:i4>4325400</vt:i4>
      </vt:variant>
      <vt:variant>
        <vt:i4>84</vt:i4>
      </vt:variant>
      <vt:variant>
        <vt:i4>0</vt:i4>
      </vt:variant>
      <vt:variant>
        <vt:i4>5</vt:i4>
      </vt:variant>
      <vt:variant>
        <vt:lpwstr>https://lplc.com.au/resources/practitioner/goods-and-services-tax</vt:lpwstr>
      </vt:variant>
      <vt:variant>
        <vt:lpwstr/>
      </vt:variant>
      <vt:variant>
        <vt:i4>5111808</vt:i4>
      </vt:variant>
      <vt:variant>
        <vt:i4>81</vt:i4>
      </vt:variant>
      <vt:variant>
        <vt:i4>0</vt:i4>
      </vt:variant>
      <vt:variant>
        <vt:i4>5</vt:i4>
      </vt:variant>
      <vt:variant>
        <vt:lpwstr>https://lplc.com.au/resources/client-resources/vendor-supplier-gst-withholding-notice</vt:lpwstr>
      </vt:variant>
      <vt:variant>
        <vt:lpwstr/>
      </vt:variant>
      <vt:variant>
        <vt:i4>2555937</vt:i4>
      </vt:variant>
      <vt:variant>
        <vt:i4>78</vt:i4>
      </vt:variant>
      <vt:variant>
        <vt:i4>0</vt:i4>
      </vt:variant>
      <vt:variant>
        <vt:i4>5</vt:i4>
      </vt:variant>
      <vt:variant>
        <vt:lpwstr>https://lplc.com.au/news-and-alerts/gst-withholding-practical-examples</vt:lpwstr>
      </vt:variant>
      <vt:variant>
        <vt:lpwstr/>
      </vt:variant>
      <vt:variant>
        <vt:i4>5111834</vt:i4>
      </vt:variant>
      <vt:variant>
        <vt:i4>75</vt:i4>
      </vt:variant>
      <vt:variant>
        <vt:i4>0</vt:i4>
      </vt:variant>
      <vt:variant>
        <vt:i4>5</vt:i4>
      </vt:variant>
      <vt:variant>
        <vt:lpwstr>https://www.ato.gov.au/businesses-and-organisations/gst-excise-and-indirect-taxes/gst/in-detail/your-industry/property/gst-at-settlement</vt:lpwstr>
      </vt:variant>
      <vt:variant>
        <vt:lpwstr/>
      </vt:variant>
      <vt:variant>
        <vt:i4>3145841</vt:i4>
      </vt:variant>
      <vt:variant>
        <vt:i4>72</vt:i4>
      </vt:variant>
      <vt:variant>
        <vt:i4>0</vt:i4>
      </vt:variant>
      <vt:variant>
        <vt:i4>5</vt:i4>
      </vt:variant>
      <vt:variant>
        <vt:lpwstr>https://lplc.com.au/resources/faq/farm-land</vt:lpwstr>
      </vt:variant>
      <vt:variant>
        <vt:lpwstr/>
      </vt:variant>
      <vt:variant>
        <vt:i4>7077928</vt:i4>
      </vt:variant>
      <vt:variant>
        <vt:i4>69</vt:i4>
      </vt:variant>
      <vt:variant>
        <vt:i4>0</vt:i4>
      </vt:variant>
      <vt:variant>
        <vt:i4>5</vt:i4>
      </vt:variant>
      <vt:variant>
        <vt:lpwstr>https://lplc.com.au/resources/faq/going-concern</vt:lpwstr>
      </vt:variant>
      <vt:variant>
        <vt:lpwstr/>
      </vt:variant>
      <vt:variant>
        <vt:i4>7602230</vt:i4>
      </vt:variant>
      <vt:variant>
        <vt:i4>66</vt:i4>
      </vt:variant>
      <vt:variant>
        <vt:i4>0</vt:i4>
      </vt:variant>
      <vt:variant>
        <vt:i4>5</vt:i4>
      </vt:variant>
      <vt:variant>
        <vt:lpwstr>https://lplc.com.au/resources/lplc-article/gst-free-sale-of-a-going-concern</vt:lpwstr>
      </vt:variant>
      <vt:variant>
        <vt:lpwstr/>
      </vt:variant>
      <vt:variant>
        <vt:i4>5111818</vt:i4>
      </vt:variant>
      <vt:variant>
        <vt:i4>63</vt:i4>
      </vt:variant>
      <vt:variant>
        <vt:i4>0</vt:i4>
      </vt:variant>
      <vt:variant>
        <vt:i4>5</vt:i4>
      </vt:variant>
      <vt:variant>
        <vt:lpwstr>https://lplc.com.au/resources/lplc-article/why-you-should-not-sell-plus-gst-in-margin-scheme-supplies</vt:lpwstr>
      </vt:variant>
      <vt:variant>
        <vt:lpwstr/>
      </vt:variant>
      <vt:variant>
        <vt:i4>2097268</vt:i4>
      </vt:variant>
      <vt:variant>
        <vt:i4>60</vt:i4>
      </vt:variant>
      <vt:variant>
        <vt:i4>0</vt:i4>
      </vt:variant>
      <vt:variant>
        <vt:i4>5</vt:i4>
      </vt:variant>
      <vt:variant>
        <vt:lpwstr>https://lplc.com.au/resources/faq/margin-scheme</vt:lpwstr>
      </vt:variant>
      <vt:variant>
        <vt:lpwstr/>
      </vt:variant>
      <vt:variant>
        <vt:i4>4325400</vt:i4>
      </vt:variant>
      <vt:variant>
        <vt:i4>57</vt:i4>
      </vt:variant>
      <vt:variant>
        <vt:i4>0</vt:i4>
      </vt:variant>
      <vt:variant>
        <vt:i4>5</vt:i4>
      </vt:variant>
      <vt:variant>
        <vt:lpwstr>https://lplc.com.au/resources/practitioner/goods-and-services-tax</vt:lpwstr>
      </vt:variant>
      <vt:variant>
        <vt:lpwstr/>
      </vt:variant>
      <vt:variant>
        <vt:i4>262162</vt:i4>
      </vt:variant>
      <vt:variant>
        <vt:i4>54</vt:i4>
      </vt:variant>
      <vt:variant>
        <vt:i4>0</vt:i4>
      </vt:variant>
      <vt:variant>
        <vt:i4>5</vt:i4>
      </vt:variant>
      <vt:variant>
        <vt:lpwstr>https://lplc.com.au/resources/checklists/gst</vt:lpwstr>
      </vt:variant>
      <vt:variant>
        <vt:lpwstr/>
      </vt:variant>
      <vt:variant>
        <vt:i4>3932269</vt:i4>
      </vt:variant>
      <vt:variant>
        <vt:i4>51</vt:i4>
      </vt:variant>
      <vt:variant>
        <vt:i4>0</vt:i4>
      </vt:variant>
      <vt:variant>
        <vt:i4>5</vt:i4>
      </vt:variant>
      <vt:variant>
        <vt:lpwstr>https://www.arnecc.gov.au/wp-content/uploads/2024/01/Model-Participation-Rules-Version-7-Clean.pdf</vt:lpwstr>
      </vt:variant>
      <vt:variant>
        <vt:lpwstr/>
      </vt:variant>
      <vt:variant>
        <vt:i4>5439566</vt:i4>
      </vt:variant>
      <vt:variant>
        <vt:i4>48</vt:i4>
      </vt:variant>
      <vt:variant>
        <vt:i4>0</vt:i4>
      </vt:variant>
      <vt:variant>
        <vt:i4>5</vt:i4>
      </vt:variant>
      <vt:variant>
        <vt:lpwstr>https://lplc.com.au/resources/lplc-article/land-dealing-certifications-need-to-be-taken-seriously</vt:lpwstr>
      </vt:variant>
      <vt:variant>
        <vt:lpwstr/>
      </vt:variant>
      <vt:variant>
        <vt:i4>786526</vt:i4>
      </vt:variant>
      <vt:variant>
        <vt:i4>45</vt:i4>
      </vt:variant>
      <vt:variant>
        <vt:i4>0</vt:i4>
      </vt:variant>
      <vt:variant>
        <vt:i4>5</vt:i4>
      </vt:variant>
      <vt:variant>
        <vt:lpwstr>https://lplc.com.au/resources/lplc-article/arnecc-requirements-for-verification-of-identity-and-client-authorisation</vt:lpwstr>
      </vt:variant>
      <vt:variant>
        <vt:lpwstr/>
      </vt:variant>
      <vt:variant>
        <vt:i4>1900552</vt:i4>
      </vt:variant>
      <vt:variant>
        <vt:i4>42</vt:i4>
      </vt:variant>
      <vt:variant>
        <vt:i4>0</vt:i4>
      </vt:variant>
      <vt:variant>
        <vt:i4>5</vt:i4>
      </vt:variant>
      <vt:variant>
        <vt:lpwstr>https://mapshare.vic.gov.au/mapsharevic/</vt:lpwstr>
      </vt:variant>
      <vt:variant>
        <vt:lpwstr/>
      </vt:variant>
      <vt:variant>
        <vt:i4>196733</vt:i4>
      </vt:variant>
      <vt:variant>
        <vt:i4>39</vt:i4>
      </vt:variant>
      <vt:variant>
        <vt:i4>0</vt:i4>
      </vt:variant>
      <vt:variant>
        <vt:i4>5</vt:i4>
      </vt:variant>
      <vt:variant>
        <vt:lpwstr>https://www.austlii.edu.au/cgi-bin/viewdoc/au/legis/vic/consol_act/sola1962100/s32c.html</vt:lpwstr>
      </vt:variant>
      <vt:variant>
        <vt:lpwstr/>
      </vt:variant>
      <vt:variant>
        <vt:i4>5177420</vt:i4>
      </vt:variant>
      <vt:variant>
        <vt:i4>36</vt:i4>
      </vt:variant>
      <vt:variant>
        <vt:i4>0</vt:i4>
      </vt:variant>
      <vt:variant>
        <vt:i4>5</vt:i4>
      </vt:variant>
      <vt:variant>
        <vt:lpwstr>https://lplc.com.au/resources/webinars/section-32-vendor-statements-avoiding-the-perils-and-pitfalls</vt:lpwstr>
      </vt:variant>
      <vt:variant>
        <vt:lpwstr/>
      </vt:variant>
      <vt:variant>
        <vt:i4>6946860</vt:i4>
      </vt:variant>
      <vt:variant>
        <vt:i4>33</vt:i4>
      </vt:variant>
      <vt:variant>
        <vt:i4>0</vt:i4>
      </vt:variant>
      <vt:variant>
        <vt:i4>5</vt:i4>
      </vt:variant>
      <vt:variant>
        <vt:lpwstr>https://lplc.com.au/resources/lplc-article/section-32-statements-the-basics</vt:lpwstr>
      </vt:variant>
      <vt:variant>
        <vt:lpwstr/>
      </vt:variant>
      <vt:variant>
        <vt:i4>196727</vt:i4>
      </vt:variant>
      <vt:variant>
        <vt:i4>30</vt:i4>
      </vt:variant>
      <vt:variant>
        <vt:i4>0</vt:i4>
      </vt:variant>
      <vt:variant>
        <vt:i4>5</vt:i4>
      </vt:variant>
      <vt:variant>
        <vt:lpwstr>https://www.austlii.edu.au/cgi-bin/viewdoc/au/legis/vic/consol_act/sola1962100/s32i.html</vt:lpwstr>
      </vt:variant>
      <vt:variant>
        <vt:lpwstr/>
      </vt:variant>
      <vt:variant>
        <vt:i4>2949165</vt:i4>
      </vt:variant>
      <vt:variant>
        <vt:i4>27</vt:i4>
      </vt:variant>
      <vt:variant>
        <vt:i4>0</vt:i4>
      </vt:variant>
      <vt:variant>
        <vt:i4>5</vt:i4>
      </vt:variant>
      <vt:variant>
        <vt:lpwstr>https://lplc.com.au/resources/lplc-article/determining-the-right-diagram-location-document</vt:lpwstr>
      </vt:variant>
      <vt:variant>
        <vt:lpwstr/>
      </vt:variant>
      <vt:variant>
        <vt:i4>5963857</vt:i4>
      </vt:variant>
      <vt:variant>
        <vt:i4>24</vt:i4>
      </vt:variant>
      <vt:variant>
        <vt:i4>0</vt:i4>
      </vt:variant>
      <vt:variant>
        <vt:i4>5</vt:i4>
      </vt:variant>
      <vt:variant>
        <vt:lpwstr>https://lplc.com.au/uploads/main/Guide-to-dealing-with-restricted-accessory-carpark-lots-June-2024-1.docx</vt:lpwstr>
      </vt:variant>
      <vt:variant>
        <vt:lpwstr/>
      </vt:variant>
      <vt:variant>
        <vt:i4>7340080</vt:i4>
      </vt:variant>
      <vt:variant>
        <vt:i4>21</vt:i4>
      </vt:variant>
      <vt:variant>
        <vt:i4>0</vt:i4>
      </vt:variant>
      <vt:variant>
        <vt:i4>5</vt:i4>
      </vt:variant>
      <vt:variant>
        <vt:lpwstr>https://lplc.com.au/resources/lplc-article/conveyancing-of-accessory-or-car-park-lots-on-strata-plans-or-cluster-plans</vt:lpwstr>
      </vt:variant>
      <vt:variant>
        <vt:lpwstr/>
      </vt:variant>
      <vt:variant>
        <vt:i4>4915289</vt:i4>
      </vt:variant>
      <vt:variant>
        <vt:i4>18</vt:i4>
      </vt:variant>
      <vt:variant>
        <vt:i4>0</vt:i4>
      </vt:variant>
      <vt:variant>
        <vt:i4>5</vt:i4>
      </vt:variant>
      <vt:variant>
        <vt:lpwstr>https://www.land.vic.gov.au/land-registration/customer-information-bulletins/2024/228</vt:lpwstr>
      </vt:variant>
      <vt:variant>
        <vt:lpwstr/>
      </vt:variant>
      <vt:variant>
        <vt:i4>196727</vt:i4>
      </vt:variant>
      <vt:variant>
        <vt:i4>15</vt:i4>
      </vt:variant>
      <vt:variant>
        <vt:i4>0</vt:i4>
      </vt:variant>
      <vt:variant>
        <vt:i4>5</vt:i4>
      </vt:variant>
      <vt:variant>
        <vt:lpwstr>https://www.austlii.edu.au/cgi-bin/viewdoc/au/legis/vic/consol_act/sola1962100/s32i.html</vt:lpwstr>
      </vt:variant>
      <vt:variant>
        <vt:lpwstr/>
      </vt:variant>
      <vt:variant>
        <vt:i4>6946860</vt:i4>
      </vt:variant>
      <vt:variant>
        <vt:i4>12</vt:i4>
      </vt:variant>
      <vt:variant>
        <vt:i4>0</vt:i4>
      </vt:variant>
      <vt:variant>
        <vt:i4>5</vt:i4>
      </vt:variant>
      <vt:variant>
        <vt:lpwstr>https://lplc.com.au/resources/lplc-article/section-32-statements-the-basics</vt:lpwstr>
      </vt:variant>
      <vt:variant>
        <vt:lpwstr/>
      </vt:variant>
      <vt:variant>
        <vt:i4>196735</vt:i4>
      </vt:variant>
      <vt:variant>
        <vt:i4>9</vt:i4>
      </vt:variant>
      <vt:variant>
        <vt:i4>0</vt:i4>
      </vt:variant>
      <vt:variant>
        <vt:i4>5</vt:i4>
      </vt:variant>
      <vt:variant>
        <vt:lpwstr>https://www.austlii.edu.au/cgi-bin/viewdoc/au/legis/vic/consol_act/sola1962100/s32a.html</vt:lpwstr>
      </vt:variant>
      <vt:variant>
        <vt:lpwstr/>
      </vt:variant>
      <vt:variant>
        <vt:i4>196735</vt:i4>
      </vt:variant>
      <vt:variant>
        <vt:i4>6</vt:i4>
      </vt:variant>
      <vt:variant>
        <vt:i4>0</vt:i4>
      </vt:variant>
      <vt:variant>
        <vt:i4>5</vt:i4>
      </vt:variant>
      <vt:variant>
        <vt:lpwstr>https://www.austlii.edu.au/cgi-bin/viewdoc/au/legis/vic/consol_act/sola1962100/s32a.html</vt:lpwstr>
      </vt:variant>
      <vt:variant>
        <vt:lpwstr/>
      </vt:variant>
      <vt:variant>
        <vt:i4>524414</vt:i4>
      </vt:variant>
      <vt:variant>
        <vt:i4>3</vt:i4>
      </vt:variant>
      <vt:variant>
        <vt:i4>0</vt:i4>
      </vt:variant>
      <vt:variant>
        <vt:i4>5</vt:i4>
      </vt:variant>
      <vt:variant>
        <vt:lpwstr>https://www.austlii.edu.au/cgi-bin/viewdoc/au/legis/vic/consol_act/sola1962100/s29a.html</vt:lpwstr>
      </vt:variant>
      <vt:variant>
        <vt:lpwstr/>
      </vt:variant>
      <vt:variant>
        <vt:i4>1900552</vt:i4>
      </vt:variant>
      <vt:variant>
        <vt:i4>0</vt:i4>
      </vt:variant>
      <vt:variant>
        <vt:i4>0</vt:i4>
      </vt:variant>
      <vt:variant>
        <vt:i4>5</vt:i4>
      </vt:variant>
      <vt:variant>
        <vt:lpwstr>https://mapshare.vic.gov.au/mapsharevic/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Vickers</dc:creator>
  <cp:keywords/>
  <dc:description/>
  <cp:lastModifiedBy>Matthew Boyd</cp:lastModifiedBy>
  <cp:revision>32</cp:revision>
  <cp:lastPrinted>2026-09-03T23:37:00Z</cp:lastPrinted>
  <dcterms:created xsi:type="dcterms:W3CDTF">2026-09-03T22:08:00Z</dcterms:created>
  <dcterms:modified xsi:type="dcterms:W3CDTF">2026-09-03T23:38:00Z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19900</vt:r8>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ClassificationContentMarkingHeaderShapeIds">
    <vt:lpwstr>2aa12c31,82f7ddf</vt:lpwstr>
  </property>
  <property fmtid="{D5CDD505-2E9C-101B-9397-08002B2CF9AE}" pid="8" name="ClassificationContentMarkingHeaderFontProps">
    <vt:lpwstr>#ff0000,12,Aptos</vt:lpwstr>
  </property>
  <property fmtid="{D5CDD505-2E9C-101B-9397-08002B2CF9AE}" pid="9" name="ClassificationContentMarkingHeaderText">
    <vt:lpwstr>		OFFICIAL : Sensitive</vt:lpwstr>
  </property>
  <property fmtid="{D5CDD505-2E9C-101B-9397-08002B2CF9AE}" pid="10" name="ClassificationContentMarkingFooterShapeIds">
    <vt:lpwstr>66776fa4,61c63aae,6cc6d739</vt:lpwstr>
  </property>
  <property fmtid="{D5CDD505-2E9C-101B-9397-08002B2CF9AE}" pid="11" name="ClassificationContentMarkingFooterFontProps">
    <vt:lpwstr>#ff0000,12,Aptos</vt:lpwstr>
  </property>
  <property fmtid="{D5CDD505-2E9C-101B-9397-08002B2CF9AE}" pid="12" name="ClassificationContentMarkingFooterText">
    <vt:lpwstr>OFFICIAL : Sensitive</vt:lpwstr>
  </property>
  <property fmtid="{D5CDD505-2E9C-101B-9397-08002B2CF9AE}" pid="13" name="MSIP_Label_66522459-1dc7-4cea-9cb5-b83fef047b3c_Enabled">
    <vt:lpwstr>true</vt:lpwstr>
  </property>
  <property fmtid="{D5CDD505-2E9C-101B-9397-08002B2CF9AE}" pid="14" name="MSIP_Label_66522459-1dc7-4cea-9cb5-b83fef047b3c_SetDate">
    <vt:lpwstr>2026-08-21T07:51:38Z</vt:lpwstr>
  </property>
  <property fmtid="{D5CDD505-2E9C-101B-9397-08002B2CF9AE}" pid="15" name="MSIP_Label_66522459-1dc7-4cea-9cb5-b83fef047b3c_Method">
    <vt:lpwstr>Privileged</vt:lpwstr>
  </property>
  <property fmtid="{D5CDD505-2E9C-101B-9397-08002B2CF9AE}" pid="16" name="MSIP_Label_66522459-1dc7-4cea-9cb5-b83fef047b3c_Name">
    <vt:lpwstr>OFFICIAL Sensitive</vt:lpwstr>
  </property>
  <property fmtid="{D5CDD505-2E9C-101B-9397-08002B2CF9AE}" pid="17" name="MSIP_Label_66522459-1dc7-4cea-9cb5-b83fef047b3c_SiteId">
    <vt:lpwstr>8893c732-7358-4693-a03d-3935d788c477</vt:lpwstr>
  </property>
  <property fmtid="{D5CDD505-2E9C-101B-9397-08002B2CF9AE}" pid="18" name="MSIP_Label_66522459-1dc7-4cea-9cb5-b83fef047b3c_ActionId">
    <vt:lpwstr>935d440e-aa21-4ff3-8314-89fee7a2f798</vt:lpwstr>
  </property>
  <property fmtid="{D5CDD505-2E9C-101B-9397-08002B2CF9AE}" pid="19" name="MSIP_Label_66522459-1dc7-4cea-9cb5-b83fef047b3c_ContentBits">
    <vt:lpwstr>2</vt:lpwstr>
  </property>
  <property fmtid="{D5CDD505-2E9C-101B-9397-08002B2CF9AE}" pid="20" name="MSIP_Label_66522459-1dc7-4cea-9cb5-b83fef047b3c_Tag">
    <vt:lpwstr>10, 0, 1, 1</vt:lpwstr>
  </property>
  <property fmtid="{D5CDD505-2E9C-101B-9397-08002B2CF9AE}" pid="21" name="ContentTypeId">
    <vt:lpwstr>0x0101000DD52A38C262D24394E6EA607DD7C96F</vt:lpwstr>
  </property>
  <property fmtid="{D5CDD505-2E9C-101B-9397-08002B2CF9AE}" pid="22" name="Topic">
    <vt:lpwstr/>
  </property>
  <property fmtid="{D5CDD505-2E9C-101B-9397-08002B2CF9AE}" pid="23" name="dbd7cd515d704340ba706ac97073fe35">
    <vt:lpwstr/>
  </property>
  <property fmtid="{D5CDD505-2E9C-101B-9397-08002B2CF9AE}" pid="24" name="acf65f6424fc4daa990772c1ace3787d">
    <vt:lpwstr/>
  </property>
  <property fmtid="{D5CDD505-2E9C-101B-9397-08002B2CF9AE}" pid="25" name="cd2b559959eb46279de568667dcaa0ea">
    <vt:lpwstr/>
  </property>
  <property fmtid="{D5CDD505-2E9C-101B-9397-08002B2CF9AE}" pid="26" name="DocumentAudience">
    <vt:lpwstr/>
  </property>
  <property fmtid="{D5CDD505-2E9C-101B-9397-08002B2CF9AE}" pid="27" name="cb077bae0107430089e4408765a4e053">
    <vt:lpwstr/>
  </property>
  <property fmtid="{D5CDD505-2E9C-101B-9397-08002B2CF9AE}" pid="28" name="l769221397e945a1b4b7c2f1834af77a">
    <vt:lpwstr/>
  </property>
  <property fmtid="{D5CDD505-2E9C-101B-9397-08002B2CF9AE}" pid="29" name="DocumentOwner">
    <vt:lpwstr/>
  </property>
  <property fmtid="{D5CDD505-2E9C-101B-9397-08002B2CF9AE}" pid="30" name="Status">
    <vt:lpwstr/>
  </property>
  <property fmtid="{D5CDD505-2E9C-101B-9397-08002B2CF9AE}" pid="31" name="DocumentType">
    <vt:lpwstr/>
  </property>
  <property fmtid="{D5CDD505-2E9C-101B-9397-08002B2CF9AE}" pid="32" name="docLang">
    <vt:lpwstr>en</vt:lpwstr>
  </property>
</Properties>
</file>