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3E97" w14:textId="77777777" w:rsidR="00770C33" w:rsidRPr="00DF3097" w:rsidRDefault="00770C33" w:rsidP="00770C33">
      <w:pPr>
        <w:pStyle w:val="LPLCHeading1"/>
      </w:pPr>
      <w:bookmarkStart w:id="0" w:name="_Toc64379652"/>
      <w:r w:rsidRPr="7C118CC4">
        <w:rPr>
          <w:rFonts w:eastAsia="Times New Roman"/>
          <w:lang w:eastAsia="en-AU"/>
        </w:rPr>
        <w:t>Vendor’s practitioner checklist</w:t>
      </w:r>
      <w:bookmarkEnd w:id="0"/>
    </w:p>
    <w:p w14:paraId="1C952577" w14:textId="7BBABD34" w:rsidR="74BE2FA7" w:rsidRDefault="74BE2FA7" w:rsidP="7C118CC4">
      <w:pPr>
        <w:pStyle w:val="LPLCHeading1"/>
      </w:pPr>
      <w:r w:rsidRPr="7C118CC4">
        <w:rPr>
          <w:rFonts w:eastAsia="Times New Roman"/>
          <w:lang w:eastAsia="en-AU"/>
        </w:rPr>
        <w:t>July 2026</w:t>
      </w:r>
    </w:p>
    <w:p w14:paraId="0DB02369" w14:textId="0DC04256" w:rsidR="7C118CC4" w:rsidRDefault="7C118CC4" w:rsidP="7C118CC4">
      <w:pPr>
        <w:pStyle w:val="LPLCHeading1"/>
        <w:rPr>
          <w:rFonts w:eastAsia="Times New Roman"/>
          <w:lang w:eastAsia="en-AU"/>
        </w:rPr>
      </w:pPr>
    </w:p>
    <w:p w14:paraId="2C92FE00" w14:textId="58C9AB58" w:rsidR="00770C33" w:rsidRPr="00DF3097" w:rsidRDefault="00770C33" w:rsidP="00770C33">
      <w:pPr>
        <w:shd w:val="clear" w:color="auto" w:fill="FFFFFF"/>
        <w:rPr>
          <w:rFonts w:eastAsia="Times New Roman" w:cs="Times New Roman"/>
          <w:color w:val="333333"/>
          <w:lang w:eastAsia="en-AU"/>
        </w:rPr>
      </w:pPr>
      <w:r>
        <w:rPr>
          <w:rFonts w:eastAsia="Times New Roman" w:cs="Times New Roman"/>
          <w:color w:val="333333"/>
          <w:lang w:eastAsia="en-AU"/>
        </w:rPr>
        <w:t xml:space="preserve">This is not a comprehensive </w:t>
      </w:r>
      <w:proofErr w:type="gramStart"/>
      <w:r>
        <w:rPr>
          <w:rFonts w:eastAsia="Times New Roman" w:cs="Times New Roman"/>
          <w:color w:val="333333"/>
          <w:lang w:eastAsia="en-AU"/>
        </w:rPr>
        <w:t>checklist</w:t>
      </w:r>
      <w:proofErr w:type="gramEnd"/>
      <w:r>
        <w:rPr>
          <w:rFonts w:eastAsia="Times New Roman" w:cs="Times New Roman"/>
          <w:color w:val="333333"/>
          <w:lang w:eastAsia="en-AU"/>
        </w:rPr>
        <w:t xml:space="preserve"> but it will help you to avoid many mistakes made by vendor’s practitioners in conveyancing transactions. </w:t>
      </w:r>
    </w:p>
    <w:p w14:paraId="1E2702FE"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t>Section 32 statements</w:t>
      </w:r>
    </w:p>
    <w:p w14:paraId="59AA9E91" w14:textId="77777777" w:rsidR="00770C33" w:rsidRPr="00ED2C69" w:rsidRDefault="00770C33" w:rsidP="00770C33">
      <w:pPr>
        <w:pStyle w:val="LPLCchecklistlevel1"/>
        <w:rPr>
          <w:rFonts w:cs="Times New Roman"/>
        </w:rPr>
      </w:pPr>
      <w:r>
        <w:rPr>
          <w:rFonts w:cs="Times New Roman"/>
        </w:rPr>
        <w:t xml:space="preserve">When asked to prepare a </w:t>
      </w:r>
      <w:hyperlink r:id="rId11" w:history="1">
        <w:r>
          <w:rPr>
            <w:rStyle w:val="Hyperlink"/>
            <w:rFonts w:cs="Times New Roman"/>
            <w:sz w:val="22"/>
          </w:rPr>
          <w:t>section 32</w:t>
        </w:r>
      </w:hyperlink>
      <w:r>
        <w:rPr>
          <w:rFonts w:cs="Times New Roman"/>
        </w:rPr>
        <w:t xml:space="preserve"> statement on short notice:</w:t>
      </w:r>
    </w:p>
    <w:p w14:paraId="019207C8" w14:textId="009E7297" w:rsidR="00770C33" w:rsidRPr="00DF3097" w:rsidRDefault="00770C33" w:rsidP="00770C33">
      <w:pPr>
        <w:pStyle w:val="LPLCChecklistlevel2"/>
        <w:rPr>
          <w:rFonts w:eastAsia="Times New Roman"/>
          <w:lang w:eastAsia="en-AU"/>
        </w:rPr>
      </w:pPr>
      <w:r>
        <w:rPr>
          <w:rFonts w:eastAsia="Times New Roman"/>
          <w:lang w:eastAsia="en-AU"/>
        </w:rPr>
        <w:t xml:space="preserve">make it clear to your client and the selling agent that it takes at least a week to obtain all necessary certificates required to prepare a </w:t>
      </w:r>
      <w:r>
        <w:rPr>
          <w:rFonts w:eastAsia="Times New Roman" w:cs="Times New Roman"/>
          <w:lang w:eastAsia="en-AU"/>
        </w:rPr>
        <w:t>section 32</w:t>
      </w:r>
      <w:r>
        <w:rPr>
          <w:rFonts w:eastAsia="Times New Roman"/>
          <w:lang w:eastAsia="en-AU"/>
        </w:rPr>
        <w:t xml:space="preserve"> statement and a statement prepared in a hurry may be invalid</w:t>
      </w:r>
    </w:p>
    <w:p w14:paraId="5A4134BC" w14:textId="38B982E8" w:rsidR="00770C33" w:rsidRPr="00DF3097" w:rsidRDefault="00770C33" w:rsidP="00770C33">
      <w:pPr>
        <w:pStyle w:val="LPLCChecklistlevel2"/>
        <w:rPr>
          <w:rFonts w:eastAsia="Times New Roman"/>
          <w:lang w:eastAsia="en-AU"/>
        </w:rPr>
      </w:pPr>
      <w:r>
        <w:rPr>
          <w:rFonts w:eastAsia="Times New Roman"/>
          <w:lang w:eastAsia="en-AU"/>
        </w:rPr>
        <w:t xml:space="preserve">point out to your client an invalid </w:t>
      </w:r>
      <w:r>
        <w:rPr>
          <w:rFonts w:eastAsia="Times New Roman" w:cs="Times New Roman"/>
          <w:lang w:eastAsia="en-AU"/>
        </w:rPr>
        <w:t>section 32</w:t>
      </w:r>
      <w:r>
        <w:rPr>
          <w:rFonts w:eastAsia="Times New Roman"/>
          <w:lang w:eastAsia="en-AU"/>
        </w:rPr>
        <w:t xml:space="preserve"> statement risks avoidance of the contract by the purchaser which may then involve double agent’s fees, delay and possibly a lower sale price </w:t>
      </w:r>
    </w:p>
    <w:p w14:paraId="1290E92B" w14:textId="0AA960F8" w:rsidR="00770C33" w:rsidRPr="00DF3097" w:rsidRDefault="00770C33" w:rsidP="00770C33">
      <w:pPr>
        <w:pStyle w:val="LPLCChecklistlevel2"/>
        <w:rPr>
          <w:rFonts w:eastAsia="Times New Roman"/>
          <w:lang w:eastAsia="en-AU"/>
        </w:rPr>
      </w:pPr>
      <w:r>
        <w:rPr>
          <w:rFonts w:eastAsia="Times New Roman"/>
          <w:lang w:eastAsia="en-AU"/>
        </w:rPr>
        <w:t xml:space="preserve">let your client know an invalid </w:t>
      </w:r>
      <w:r>
        <w:rPr>
          <w:rFonts w:eastAsia="Times New Roman" w:cs="Times New Roman"/>
          <w:lang w:eastAsia="en-AU"/>
        </w:rPr>
        <w:t>section 32</w:t>
      </w:r>
      <w:r>
        <w:rPr>
          <w:rFonts w:eastAsia="Times New Roman"/>
          <w:lang w:eastAsia="en-AU"/>
        </w:rPr>
        <w:t xml:space="preserve"> statement also carries the risk of an action for damages for misrepresentation</w:t>
      </w:r>
    </w:p>
    <w:p w14:paraId="5C4DBF88" w14:textId="318407AD" w:rsidR="00770C33" w:rsidRPr="00DF3097" w:rsidRDefault="00770C33" w:rsidP="00770C33">
      <w:pPr>
        <w:pStyle w:val="LPLCChecklistlevel2"/>
        <w:rPr>
          <w:rFonts w:eastAsia="Times New Roman"/>
          <w:lang w:eastAsia="en-AU"/>
        </w:rPr>
      </w:pPr>
      <w:r>
        <w:rPr>
          <w:rFonts w:eastAsia="Times New Roman"/>
          <w:lang w:eastAsia="en-AU"/>
        </w:rPr>
        <w:t>if despite this advice, your client insists the statement be prepared in a hurry, confirm the advice in writing to both your client and the selling agent.</w:t>
      </w:r>
      <w:r>
        <w:rPr>
          <w:rFonts w:eastAsia="Times New Roman"/>
          <w:lang w:eastAsia="en-AU"/>
        </w:rPr>
        <w:br/>
      </w:r>
    </w:p>
    <w:p w14:paraId="2DB9A4FE" w14:textId="1D4314DC" w:rsidR="00770C33" w:rsidRPr="000A51CC" w:rsidRDefault="00770C33" w:rsidP="00770C33">
      <w:pPr>
        <w:pStyle w:val="LPLCchecklistlevel1"/>
      </w:pPr>
      <w:r>
        <w:t xml:space="preserve">Confirm whether an </w:t>
      </w:r>
      <w:proofErr w:type="gramStart"/>
      <w:r>
        <w:t>owners</w:t>
      </w:r>
      <w:proofErr w:type="gramEnd"/>
      <w:r>
        <w:t xml:space="preserve"> corporation exists and if </w:t>
      </w:r>
      <w:proofErr w:type="gramStart"/>
      <w:r>
        <w:t>so</w:t>
      </w:r>
      <w:proofErr w:type="gramEnd"/>
      <w:r>
        <w:t xml:space="preserve"> advise your client about the need to include </w:t>
      </w:r>
      <w:proofErr w:type="gramStart"/>
      <w:r>
        <w:t>owners</w:t>
      </w:r>
      <w:proofErr w:type="gramEnd"/>
      <w:r>
        <w:t xml:space="preserve"> corporation information in </w:t>
      </w:r>
      <w:proofErr w:type="gramStart"/>
      <w:r>
        <w:t xml:space="preserve">the </w:t>
      </w:r>
      <w:r>
        <w:rPr>
          <w:rFonts w:cs="Times New Roman"/>
        </w:rPr>
        <w:t>section</w:t>
      </w:r>
      <w:proofErr w:type="gramEnd"/>
      <w:r>
        <w:rPr>
          <w:rFonts w:cs="Times New Roman"/>
        </w:rPr>
        <w:t xml:space="preserve"> 32</w:t>
      </w:r>
      <w:r>
        <w:rPr>
          <w:rStyle w:val="Hyperlink"/>
          <w:rFonts w:cs="Times New Roman"/>
          <w:sz w:val="22"/>
        </w:rPr>
        <w:t xml:space="preserve"> </w:t>
      </w:r>
      <w:r>
        <w:t xml:space="preserve">statement even if the </w:t>
      </w:r>
      <w:proofErr w:type="gramStart"/>
      <w:r>
        <w:t>owners</w:t>
      </w:r>
      <w:proofErr w:type="gramEnd"/>
      <w:r>
        <w:t xml:space="preserve"> corporation is said to be ‘inactive’.</w:t>
      </w:r>
      <w:r>
        <w:br/>
      </w:r>
    </w:p>
    <w:p w14:paraId="45FB5CEB" w14:textId="77777777" w:rsidR="00770C33" w:rsidRDefault="00770C33" w:rsidP="00770C33">
      <w:pPr>
        <w:pStyle w:val="LPLCchecklistlevel1"/>
      </w:pPr>
      <w:r>
        <w:t xml:space="preserve">Do not rely on the duplicate certificate of title. Always conduct an </w:t>
      </w:r>
      <w:proofErr w:type="gramStart"/>
      <w:r>
        <w:t>up to date</w:t>
      </w:r>
      <w:proofErr w:type="gramEnd"/>
      <w:r>
        <w:t xml:space="preserve"> title search.</w:t>
      </w:r>
    </w:p>
    <w:p w14:paraId="5728897F" w14:textId="77777777" w:rsidR="00770C33" w:rsidRDefault="00770C33" w:rsidP="00770C33">
      <w:pPr>
        <w:pStyle w:val="LPLCchecklistlevel1"/>
      </w:pPr>
      <w:r>
        <w:t xml:space="preserve">Read the titles to ensure they are not a ‘half part or share’ of land. Assess whether the titles you have cover </w:t>
      </w:r>
      <w:proofErr w:type="gramStart"/>
      <w:r>
        <w:t>all of</w:t>
      </w:r>
      <w:proofErr w:type="gramEnd"/>
      <w:r>
        <w:t xml:space="preserve"> the land being sold.</w:t>
      </w:r>
    </w:p>
    <w:p w14:paraId="492FBD14" w14:textId="77777777" w:rsidR="00770C33" w:rsidRPr="00DF3097" w:rsidRDefault="00770C33" w:rsidP="00770C33">
      <w:pPr>
        <w:pStyle w:val="LPLCchecklistlevel1"/>
      </w:pPr>
      <w:r>
        <w:t xml:space="preserve">Attach a copy of the Register Search Statement and the diagram location document. See LPLC’s article </w:t>
      </w:r>
      <w:hyperlink r:id="rId12" w:history="1">
        <w:r>
          <w:rPr>
            <w:rStyle w:val="Hyperlink"/>
            <w:rFonts w:cs="Times New Roman"/>
            <w:sz w:val="22"/>
          </w:rPr>
          <w:t>Determining the right diagram location document</w:t>
        </w:r>
      </w:hyperlink>
      <w:r>
        <w:t xml:space="preserve"> and </w:t>
      </w:r>
      <w:hyperlink r:id="rId13" w:history="1">
        <w:r>
          <w:rPr>
            <w:rStyle w:val="Hyperlink"/>
            <w:rFonts w:cs="Times New Roman"/>
            <w:sz w:val="22"/>
          </w:rPr>
          <w:t>section 32I</w:t>
        </w:r>
      </w:hyperlink>
      <w:r>
        <w:t>.</w:t>
      </w:r>
    </w:p>
    <w:p w14:paraId="47759057" w14:textId="35AD5E87" w:rsidR="00770C33" w:rsidRPr="00DF3097" w:rsidRDefault="00770C33" w:rsidP="00770C33">
      <w:pPr>
        <w:pStyle w:val="LPLCchecklistlevel1"/>
      </w:pPr>
      <w:r>
        <w:t xml:space="preserve">Consider having your vendor client complete the LPLC </w:t>
      </w:r>
      <w:hyperlink r:id="rId14" w:history="1">
        <w:r>
          <w:rPr>
            <w:rStyle w:val="Hyperlink"/>
            <w:rFonts w:cs="Times New Roman"/>
            <w:sz w:val="22"/>
          </w:rPr>
          <w:t xml:space="preserve">Sale of land questions for vendor </w:t>
        </w:r>
      </w:hyperlink>
      <w:r>
        <w:t>available for downloading from the LPLC website.</w:t>
      </w:r>
    </w:p>
    <w:p w14:paraId="042F3EEA" w14:textId="77777777" w:rsidR="00770C33" w:rsidRDefault="00770C33" w:rsidP="00770C33">
      <w:pPr>
        <w:pStyle w:val="LPLCchecklistlevel1"/>
      </w:pPr>
      <w:r>
        <w:t xml:space="preserve">Apply for a fresh set of certificates and read each certificate carefully. </w:t>
      </w:r>
    </w:p>
    <w:p w14:paraId="238D3A4D" w14:textId="77777777" w:rsidR="00770C33" w:rsidRPr="00FB3ADC" w:rsidRDefault="00770C33" w:rsidP="00770C33">
      <w:pPr>
        <w:pStyle w:val="LPLCchecklistlevel1"/>
      </w:pPr>
      <w:r>
        <w:t xml:space="preserve">Make it your practice to obtain an information statement from the relevant water authority, which is necessary to establish whether there are any unregistered easements such as water, sewerage or drainage affecting the property or notices issued affecting the property. See LPLC article </w:t>
      </w:r>
      <w:hyperlink r:id="rId15" w:history="1">
        <w:r>
          <w:rPr>
            <w:rStyle w:val="Hyperlink"/>
            <w:rFonts w:cs="Times New Roman"/>
            <w:sz w:val="22"/>
          </w:rPr>
          <w:t>Make it a rule to include water information certificates</w:t>
        </w:r>
      </w:hyperlink>
    </w:p>
    <w:p w14:paraId="7C0264A6" w14:textId="77777777" w:rsidR="00770C33" w:rsidRPr="00DF3097" w:rsidRDefault="00770C33" w:rsidP="00770C33">
      <w:pPr>
        <w:pStyle w:val="LPLCchecklistlevel1"/>
      </w:pPr>
      <w:r>
        <w:t xml:space="preserve">Consider the possibility of unregistered easements. Question your client about </w:t>
      </w:r>
      <w:r>
        <w:lastRenderedPageBreak/>
        <w:t xml:space="preserve">the existence of agreements with </w:t>
      </w:r>
      <w:proofErr w:type="spellStart"/>
      <w:r>
        <w:t>neighbours</w:t>
      </w:r>
      <w:proofErr w:type="spellEnd"/>
      <w:r>
        <w:t xml:space="preserve"> or a </w:t>
      </w:r>
      <w:proofErr w:type="spellStart"/>
      <w:r>
        <w:t>neighbour’s</w:t>
      </w:r>
      <w:proofErr w:type="spellEnd"/>
      <w:r>
        <w:t xml:space="preserve"> use of an access track or water pipes across your client’s land.</w:t>
      </w:r>
    </w:p>
    <w:p w14:paraId="02DC3BDB" w14:textId="77777777" w:rsidR="00770C33" w:rsidRPr="00DF3097" w:rsidRDefault="00770C33" w:rsidP="00770C33">
      <w:pPr>
        <w:pStyle w:val="LPLCchecklistlevel1"/>
      </w:pPr>
      <w:r>
        <w:t>Include a plan of subdivision if appropriate.</w:t>
      </w:r>
    </w:p>
    <w:p w14:paraId="55F0E44C" w14:textId="77777777" w:rsidR="00770C33" w:rsidRPr="00DF3097" w:rsidRDefault="00770C33" w:rsidP="00770C33">
      <w:pPr>
        <w:pStyle w:val="LPLCchecklistlevel1"/>
      </w:pPr>
      <w:r>
        <w:t xml:space="preserve">Attach a planning certificate from the </w:t>
      </w:r>
      <w:proofErr w:type="gramStart"/>
      <w:r>
        <w:t>responsible authority</w:t>
      </w:r>
      <w:proofErr w:type="gramEnd"/>
      <w:r>
        <w:t>.</w:t>
      </w:r>
    </w:p>
    <w:p w14:paraId="15732A1B" w14:textId="77777777" w:rsidR="00770C33" w:rsidRPr="00DF3097" w:rsidRDefault="00770C33" w:rsidP="00770C33">
      <w:pPr>
        <w:pStyle w:val="LPLCchecklistlevel1"/>
      </w:pPr>
      <w:r>
        <w:t>Obtain a statement from the relevant municipality relating to building approvals.</w:t>
      </w:r>
    </w:p>
    <w:p w14:paraId="7E2306E7" w14:textId="6C57985F" w:rsidR="00770C33" w:rsidRPr="00DF3097" w:rsidRDefault="00770C33" w:rsidP="00770C33">
      <w:pPr>
        <w:pStyle w:val="LPLCchecklistlevel1"/>
      </w:pPr>
      <w:r>
        <w:t>Provide a</w:t>
      </w:r>
      <w:r w:rsidR="00CD69A5">
        <w:t>n owner-builder</w:t>
      </w:r>
      <w:r>
        <w:t xml:space="preserve"> condition report </w:t>
      </w:r>
      <w:r w:rsidR="00CD69A5">
        <w:t xml:space="preserve">(also known as an owner-builder defects report) </w:t>
      </w:r>
      <w:r>
        <w:t xml:space="preserve">and notice of cover (where the statutory insurance scheme applies) if the client is an owner builder (warranties go in the contract). </w:t>
      </w:r>
    </w:p>
    <w:p w14:paraId="20CCB57F" w14:textId="22797B41" w:rsidR="00770C33" w:rsidRPr="00DF3097" w:rsidRDefault="00770C33" w:rsidP="00770C33">
      <w:pPr>
        <w:pStyle w:val="LPLCchecklistlevel1"/>
        <w:rPr>
          <w:rFonts w:cs="Times New Roman"/>
          <w:color w:val="333333"/>
        </w:rPr>
      </w:pPr>
      <w:r>
        <w:rPr>
          <w:rFonts w:cs="Times New Roman"/>
          <w:color w:val="333333"/>
        </w:rPr>
        <w:t xml:space="preserve">Make proper enquiries to ensure the </w:t>
      </w:r>
      <w:r>
        <w:rPr>
          <w:rFonts w:cs="Times New Roman"/>
        </w:rPr>
        <w:t>section 32</w:t>
      </w:r>
      <w:r>
        <w:rPr>
          <w:rFonts w:cs="Times New Roman"/>
          <w:color w:val="333333"/>
        </w:rPr>
        <w:t xml:space="preserve"> statement accurately states which services are not connected. See </w:t>
      </w:r>
      <w:hyperlink r:id="rId16" w:history="1">
        <w:r>
          <w:rPr>
            <w:rStyle w:val="Hyperlink"/>
            <w:rFonts w:cs="Times New Roman"/>
            <w:sz w:val="22"/>
          </w:rPr>
          <w:t>section 32H</w:t>
        </w:r>
      </w:hyperlink>
      <w:r>
        <w:rPr>
          <w:rFonts w:cs="Times New Roman"/>
          <w:color w:val="333333"/>
        </w:rPr>
        <w:t xml:space="preserve">. Avoid using the term ‘available’. </w:t>
      </w:r>
    </w:p>
    <w:p w14:paraId="685B7A10" w14:textId="4E0B3A12" w:rsidR="00770C33" w:rsidRDefault="00770C33" w:rsidP="00770C33">
      <w:pPr>
        <w:pStyle w:val="LPLCchecklistlevel1"/>
        <w:rPr>
          <w:rFonts w:cs="Times New Roman"/>
          <w:color w:val="333333"/>
        </w:rPr>
      </w:pPr>
      <w:r>
        <w:rPr>
          <w:rFonts w:cs="Times New Roman"/>
          <w:color w:val="333333"/>
        </w:rPr>
        <w:t xml:space="preserve">When instructing estate agents to amend, update or attach relevant certificates to the </w:t>
      </w:r>
      <w:r>
        <w:rPr>
          <w:rFonts w:cs="Times New Roman"/>
        </w:rPr>
        <w:t>section 32</w:t>
      </w:r>
      <w:r>
        <w:rPr>
          <w:rFonts w:cs="Times New Roman"/>
          <w:color w:val="333333"/>
        </w:rPr>
        <w:t xml:space="preserve"> statement, keep a file note of any verbal instructions and confirm those instructions in writing.</w:t>
      </w:r>
    </w:p>
    <w:p w14:paraId="1866A91B" w14:textId="77777777" w:rsidR="00770C33" w:rsidRPr="00DF3097" w:rsidRDefault="00770C33" w:rsidP="00770C33">
      <w:pPr>
        <w:pStyle w:val="LPLCchecklistlevel1"/>
      </w:pPr>
      <w:r>
        <w:t>Carefully check a revised section 32 statement to ensure no documents have been left out.</w:t>
      </w:r>
    </w:p>
    <w:p w14:paraId="35723CDD" w14:textId="77777777" w:rsidR="00770C33" w:rsidRPr="00DF3097" w:rsidRDefault="00770C33" w:rsidP="00770C33">
      <w:pPr>
        <w:pStyle w:val="LPLCchecklistlevel1"/>
      </w:pPr>
      <w:r>
        <w:t>Obtain instructions to make further investigations if necessary or if instructed not to do so confirm this in writing.</w:t>
      </w:r>
    </w:p>
    <w:p w14:paraId="7A95ABC5"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t>Subdivisions</w:t>
      </w:r>
    </w:p>
    <w:p w14:paraId="5AEB9B54" w14:textId="77777777" w:rsidR="00770C33" w:rsidRPr="00DF3097" w:rsidRDefault="00770C33" w:rsidP="00770C33">
      <w:pPr>
        <w:pStyle w:val="LPLCchecklistlevel1"/>
      </w:pPr>
      <w:r>
        <w:t>Carefully check plans of subdivision and contracts of sale to ensure the plan and the contract accurately describes what is being bought or sold.</w:t>
      </w:r>
    </w:p>
    <w:p w14:paraId="1BB2BB9C" w14:textId="77777777" w:rsidR="00770C33" w:rsidRPr="00DF3097" w:rsidRDefault="00770C33" w:rsidP="00770C33">
      <w:pPr>
        <w:pStyle w:val="LPLCchecklistlevel1"/>
      </w:pPr>
      <w:r>
        <w:t>Check any registered plan of subdivision carefully. Do not assume that because the subdivision plan number is the same as the plan attached to the contract, or that the vendor has not notified the purchaser of any amendments, that no amendments have been made to the plan.</w:t>
      </w:r>
    </w:p>
    <w:p w14:paraId="32D41E33" w14:textId="77777777" w:rsidR="00770C33" w:rsidRPr="00DF3097" w:rsidRDefault="00770C33" w:rsidP="00770C33">
      <w:pPr>
        <w:pStyle w:val="LPLCchecklistlevel1"/>
      </w:pPr>
      <w:r>
        <w:t>When acting for a vendor of a lot on an unregistered plan, ensure your precedent contract complies with the obligations imposed by the SLA and warn the vendor of the consequences of any breach including that the purchaser may rescind. Specifically:</w:t>
      </w:r>
    </w:p>
    <w:p w14:paraId="0E974BCB" w14:textId="77777777" w:rsidR="00770C33" w:rsidRPr="00DF3097" w:rsidRDefault="00770C33" w:rsidP="00770C33">
      <w:pPr>
        <w:pStyle w:val="LPLCChecklistlevel2"/>
        <w:rPr>
          <w:rFonts w:eastAsia="Times New Roman"/>
          <w:lang w:eastAsia="en-AU"/>
        </w:rPr>
      </w:pPr>
      <w:hyperlink r:id="rId17" w:history="1">
        <w:r>
          <w:rPr>
            <w:rStyle w:val="Hyperlink"/>
            <w:rFonts w:eastAsia="Times New Roman" w:cs="Times New Roman"/>
            <w:sz w:val="22"/>
            <w:lang w:eastAsia="en-AU"/>
          </w:rPr>
          <w:t>Section 9AA</w:t>
        </w:r>
      </w:hyperlink>
      <w:r>
        <w:rPr>
          <w:rFonts w:eastAsia="Times New Roman"/>
          <w:b/>
          <w:bCs/>
          <w:lang w:eastAsia="en-AU"/>
        </w:rPr>
        <w:t>: </w:t>
      </w:r>
      <w:r>
        <w:rPr>
          <w:rFonts w:eastAsia="Times New Roman"/>
          <w:lang w:eastAsia="en-AU"/>
        </w:rPr>
        <w:t>the contract must provide that deposit monies be paid into the trust account of a legal practitioner, conveyancer or licensed estate agent for the purchaser until the registration of the plan of subdivision.</w:t>
      </w:r>
    </w:p>
    <w:p w14:paraId="5D43663D" w14:textId="77777777" w:rsidR="00770C33" w:rsidRPr="00DF3097" w:rsidRDefault="00770C33" w:rsidP="00770C33">
      <w:pPr>
        <w:pStyle w:val="LPLCChecklistlevel2"/>
        <w:rPr>
          <w:rFonts w:eastAsia="Times New Roman"/>
          <w:lang w:eastAsia="en-AU"/>
        </w:rPr>
      </w:pPr>
      <w:hyperlink r:id="rId18" w:history="1">
        <w:r>
          <w:rPr>
            <w:rStyle w:val="Hyperlink"/>
            <w:rFonts w:eastAsia="Times New Roman" w:cs="Times New Roman"/>
            <w:sz w:val="22"/>
            <w:lang w:eastAsia="en-AU"/>
          </w:rPr>
          <w:t>Section 9AB</w:t>
        </w:r>
      </w:hyperlink>
      <w:r>
        <w:rPr>
          <w:rFonts w:eastAsia="Times New Roman"/>
          <w:b/>
          <w:bCs/>
          <w:lang w:eastAsia="en-AU"/>
        </w:rPr>
        <w:t>:</w:t>
      </w:r>
      <w:r>
        <w:rPr>
          <w:rFonts w:eastAsia="Times New Roman"/>
          <w:lang w:eastAsia="en-AU"/>
        </w:rPr>
        <w:t> details of any works affecting the natural surface level of the land must be disclosed in the contract or, if carried out after the date of contract but before registration of the plan, must be disclosed as soon as practicable after details become known to the vendor.</w:t>
      </w:r>
    </w:p>
    <w:p w14:paraId="7DB6148A" w14:textId="77777777" w:rsidR="00770C33" w:rsidRPr="00DF3097" w:rsidRDefault="00770C33" w:rsidP="00770C33">
      <w:pPr>
        <w:pStyle w:val="LPLCChecklistlevel2"/>
        <w:rPr>
          <w:rFonts w:eastAsia="Times New Roman"/>
          <w:lang w:eastAsia="en-AU"/>
        </w:rPr>
      </w:pPr>
      <w:hyperlink r:id="rId19" w:history="1">
        <w:r>
          <w:rPr>
            <w:rStyle w:val="Hyperlink"/>
            <w:rFonts w:eastAsia="Times New Roman" w:cs="Times New Roman"/>
            <w:sz w:val="22"/>
            <w:lang w:eastAsia="en-AU"/>
          </w:rPr>
          <w:t>Section 9AC</w:t>
        </w:r>
      </w:hyperlink>
      <w:r>
        <w:rPr>
          <w:rFonts w:eastAsia="Times New Roman"/>
          <w:b/>
          <w:bCs/>
          <w:lang w:eastAsia="en-AU"/>
        </w:rPr>
        <w:t>:</w:t>
      </w:r>
      <w:r>
        <w:rPr>
          <w:rFonts w:eastAsia="Times New Roman"/>
          <w:lang w:eastAsia="en-AU"/>
        </w:rPr>
        <w:t> the vendor must notify the purchaser of any proposed amendments to the plan of subdivision prior to registration and, if the changes materially affect the lot, the purchaser may rescind within 14 days of being so notified.</w:t>
      </w:r>
    </w:p>
    <w:p w14:paraId="4D3EDEEE" w14:textId="77777777" w:rsidR="00770C33" w:rsidRPr="00DF3097" w:rsidRDefault="00770C33" w:rsidP="00770C33">
      <w:pPr>
        <w:pStyle w:val="LPLCChecklistlevel2"/>
        <w:rPr>
          <w:rFonts w:eastAsia="Times New Roman"/>
          <w:lang w:eastAsia="en-AU"/>
        </w:rPr>
      </w:pPr>
      <w:hyperlink r:id="rId20" w:history="1">
        <w:r>
          <w:rPr>
            <w:rStyle w:val="Hyperlink"/>
            <w:rFonts w:eastAsia="Times New Roman" w:cs="Times New Roman"/>
            <w:sz w:val="22"/>
            <w:lang w:eastAsia="en-AU"/>
          </w:rPr>
          <w:t>Section 9</w:t>
        </w:r>
        <w:proofErr w:type="gramStart"/>
        <w:r>
          <w:rPr>
            <w:rStyle w:val="Hyperlink"/>
            <w:rFonts w:eastAsia="Times New Roman" w:cs="Times New Roman"/>
            <w:sz w:val="22"/>
            <w:lang w:eastAsia="en-AU"/>
          </w:rPr>
          <w:t>AE(</w:t>
        </w:r>
        <w:proofErr w:type="gramEnd"/>
        <w:r>
          <w:rPr>
            <w:rStyle w:val="Hyperlink"/>
            <w:rFonts w:eastAsia="Times New Roman" w:cs="Times New Roman"/>
            <w:sz w:val="22"/>
            <w:lang w:eastAsia="en-AU"/>
          </w:rPr>
          <w:t>1)</w:t>
        </w:r>
      </w:hyperlink>
      <w:r>
        <w:rPr>
          <w:rFonts w:eastAsia="Times New Roman"/>
          <w:b/>
          <w:bCs/>
          <w:lang w:eastAsia="en-AU"/>
        </w:rPr>
        <w:t>:</w:t>
      </w:r>
      <w:r>
        <w:rPr>
          <w:rFonts w:eastAsia="Times New Roman"/>
          <w:lang w:eastAsia="en-AU"/>
        </w:rPr>
        <w:t> any breaches of sections 9AA and 9AB may result in the purchaser rescinding before the plan is registered.</w:t>
      </w:r>
    </w:p>
    <w:p w14:paraId="7FFB2068" w14:textId="77777777" w:rsidR="00770C33" w:rsidRPr="00DF3097" w:rsidRDefault="00770C33" w:rsidP="00770C33">
      <w:pPr>
        <w:pStyle w:val="LPLCChecklistlevel2"/>
        <w:rPr>
          <w:rFonts w:eastAsia="Times New Roman"/>
          <w:lang w:eastAsia="en-AU"/>
        </w:rPr>
      </w:pPr>
      <w:hyperlink r:id="rId21" w:history="1">
        <w:r>
          <w:rPr>
            <w:rStyle w:val="Hyperlink"/>
            <w:rFonts w:eastAsia="Times New Roman" w:cs="Times New Roman"/>
            <w:sz w:val="22"/>
            <w:lang w:eastAsia="en-AU"/>
          </w:rPr>
          <w:t>Section 9</w:t>
        </w:r>
        <w:proofErr w:type="gramStart"/>
        <w:r>
          <w:rPr>
            <w:rStyle w:val="Hyperlink"/>
            <w:rFonts w:eastAsia="Times New Roman" w:cs="Times New Roman"/>
            <w:sz w:val="22"/>
            <w:lang w:eastAsia="en-AU"/>
          </w:rPr>
          <w:t>AE(</w:t>
        </w:r>
        <w:proofErr w:type="gramEnd"/>
        <w:r>
          <w:rPr>
            <w:rStyle w:val="Hyperlink"/>
            <w:rFonts w:eastAsia="Times New Roman" w:cs="Times New Roman"/>
            <w:sz w:val="22"/>
            <w:lang w:eastAsia="en-AU"/>
          </w:rPr>
          <w:t>2)</w:t>
        </w:r>
      </w:hyperlink>
      <w:r>
        <w:rPr>
          <w:rFonts w:eastAsia="Times New Roman"/>
          <w:b/>
          <w:bCs/>
          <w:lang w:eastAsia="en-AU"/>
        </w:rPr>
        <w:t>:</w:t>
      </w:r>
      <w:r>
        <w:rPr>
          <w:rFonts w:eastAsia="Times New Roman"/>
          <w:lang w:eastAsia="en-AU"/>
        </w:rPr>
        <w:t> the purchaser may rescind if the plan is not registered within 18 months, or such other period specified in the contract, of the contract date.</w:t>
      </w:r>
    </w:p>
    <w:p w14:paraId="60172EB7" w14:textId="77777777" w:rsidR="00770C33" w:rsidRPr="00DF3097" w:rsidRDefault="00770C33" w:rsidP="00770C33">
      <w:pPr>
        <w:pStyle w:val="LPLCchecklistlevel1"/>
      </w:pPr>
      <w:r>
        <w:t xml:space="preserve">Advise your client of the insurance requirement imposed by </w:t>
      </w:r>
      <w:hyperlink r:id="rId22">
        <w:r w:rsidRPr="537195A4">
          <w:rPr>
            <w:rStyle w:val="Hyperlink"/>
            <w:rFonts w:cs="Times New Roman"/>
            <w:sz w:val="22"/>
            <w:szCs w:val="22"/>
          </w:rPr>
          <w:t>section 11</w:t>
        </w:r>
      </w:hyperlink>
      <w:r>
        <w:t xml:space="preserve"> of the SLA if the lot is affected by an </w:t>
      </w:r>
      <w:proofErr w:type="gramStart"/>
      <w:r>
        <w:t>owners</w:t>
      </w:r>
      <w:proofErr w:type="gramEnd"/>
      <w:r>
        <w:t xml:space="preserve"> corporation. Unless the </w:t>
      </w:r>
      <w:proofErr w:type="gramStart"/>
      <w:r>
        <w:t>owners</w:t>
      </w:r>
      <w:proofErr w:type="gramEnd"/>
      <w:r>
        <w:t xml:space="preserve"> corporation has the required insurance, the purchaser may avoid the sale at any time before settlement.</w:t>
      </w:r>
    </w:p>
    <w:p w14:paraId="746802E9" w14:textId="1448C08C" w:rsidR="00770C33" w:rsidRPr="00DF3097" w:rsidRDefault="00770C33" w:rsidP="537195A4">
      <w:pPr>
        <w:shd w:val="clear" w:color="auto" w:fill="FFFFFF" w:themeFill="background1"/>
        <w:rPr>
          <w:rFonts w:eastAsia="Times New Roman" w:cs="Times New Roman"/>
          <w:color w:val="333333"/>
          <w:lang w:eastAsia="en-AU"/>
        </w:rPr>
      </w:pPr>
      <w:r w:rsidRPr="537195A4">
        <w:rPr>
          <w:rFonts w:eastAsia="Times New Roman" w:cs="Times New Roman"/>
          <w:b/>
          <w:bCs/>
          <w:color w:val="333333"/>
          <w:lang w:eastAsia="en-AU"/>
        </w:rPr>
        <w:t>Domestic owner</w:t>
      </w:r>
      <w:r w:rsidR="00235450" w:rsidRPr="537195A4">
        <w:rPr>
          <w:rFonts w:eastAsia="Times New Roman" w:cs="Times New Roman"/>
          <w:b/>
          <w:bCs/>
          <w:color w:val="333333"/>
          <w:lang w:eastAsia="en-AU"/>
        </w:rPr>
        <w:t>-</w:t>
      </w:r>
      <w:r w:rsidRPr="537195A4">
        <w:rPr>
          <w:rFonts w:eastAsia="Times New Roman" w:cs="Times New Roman"/>
          <w:b/>
          <w:bCs/>
          <w:color w:val="333333"/>
          <w:lang w:eastAsia="en-AU"/>
        </w:rPr>
        <w:t>builders</w:t>
      </w:r>
    </w:p>
    <w:p w14:paraId="55449C14" w14:textId="77777777" w:rsidR="00770C33" w:rsidRPr="00DF3097" w:rsidRDefault="00770C33" w:rsidP="00770C33">
      <w:pPr>
        <w:pStyle w:val="LPLCchecklistlevel1"/>
      </w:pPr>
      <w:r>
        <w:t>Take detailed instructions from a client intending to sell domestic property including answers to the following questions.</w:t>
      </w:r>
    </w:p>
    <w:p w14:paraId="442499C9" w14:textId="3306F475" w:rsidR="00770C33" w:rsidRPr="00DF3097" w:rsidRDefault="00770C33" w:rsidP="00770C33">
      <w:pPr>
        <w:pStyle w:val="LPLCChecklistlevel2"/>
        <w:rPr>
          <w:rFonts w:eastAsia="Times New Roman"/>
        </w:rPr>
      </w:pPr>
      <w:r w:rsidRPr="537195A4">
        <w:rPr>
          <w:rFonts w:eastAsia="Times New Roman"/>
        </w:rPr>
        <w:t>Have any building permits been issued in the last seven years or has there been any other building work in that time?</w:t>
      </w:r>
    </w:p>
    <w:p w14:paraId="4B2C8AC9" w14:textId="649FDEA2" w:rsidR="00770C33" w:rsidRPr="00DF3097" w:rsidRDefault="00770C33" w:rsidP="00770C33">
      <w:pPr>
        <w:pStyle w:val="LPLCChecklistlevel2"/>
        <w:rPr>
          <w:rFonts w:eastAsia="Times New Roman"/>
        </w:rPr>
      </w:pPr>
      <w:r w:rsidRPr="537195A4">
        <w:rPr>
          <w:rFonts w:eastAsia="Times New Roman"/>
        </w:rPr>
        <w:t xml:space="preserve">Who did the building work? Unless a registered builder’s name is on the building permit, </w:t>
      </w:r>
      <w:hyperlink r:id="rId23">
        <w:r w:rsidRPr="537195A4">
          <w:rPr>
            <w:rStyle w:val="Hyperlink"/>
            <w:rFonts w:eastAsia="Times New Roman" w:cs="Times New Roman"/>
            <w:sz w:val="22"/>
            <w:lang w:eastAsia="en-AU"/>
          </w:rPr>
          <w:t>sections 137B</w:t>
        </w:r>
      </w:hyperlink>
      <w:r w:rsidRPr="537195A4">
        <w:rPr>
          <w:rFonts w:eastAsia="Times New Roman"/>
        </w:rPr>
        <w:t xml:space="preserve"> and </w:t>
      </w:r>
      <w:hyperlink r:id="rId24">
        <w:r w:rsidRPr="537195A4">
          <w:rPr>
            <w:rStyle w:val="Hyperlink"/>
            <w:rFonts w:eastAsia="Times New Roman" w:cs="Times New Roman"/>
            <w:sz w:val="22"/>
            <w:lang w:eastAsia="en-AU"/>
          </w:rPr>
          <w:t>137C</w:t>
        </w:r>
      </w:hyperlink>
      <w:r w:rsidRPr="537195A4">
        <w:rPr>
          <w:rFonts w:eastAsia="Times New Roman"/>
        </w:rPr>
        <w:t xml:space="preserve"> </w:t>
      </w:r>
      <w:r w:rsidR="00CF0872" w:rsidRPr="537195A4">
        <w:rPr>
          <w:rFonts w:eastAsia="Times New Roman"/>
        </w:rPr>
        <w:t xml:space="preserve">of the </w:t>
      </w:r>
      <w:r w:rsidR="00CF0872" w:rsidRPr="537195A4">
        <w:rPr>
          <w:rFonts w:eastAsia="Times New Roman"/>
          <w:i/>
          <w:iCs/>
        </w:rPr>
        <w:t>Building Act 1993</w:t>
      </w:r>
      <w:r w:rsidR="00CF0872" w:rsidRPr="537195A4">
        <w:rPr>
          <w:rFonts w:eastAsia="Times New Roman"/>
        </w:rPr>
        <w:t xml:space="preserve"> (Vic) (</w:t>
      </w:r>
      <w:r w:rsidR="00CF0872" w:rsidRPr="537195A4">
        <w:rPr>
          <w:rFonts w:eastAsia="Times New Roman"/>
          <w:b/>
          <w:bCs/>
        </w:rPr>
        <w:t>Building Act</w:t>
      </w:r>
      <w:r w:rsidR="00CF0872" w:rsidRPr="537195A4">
        <w:rPr>
          <w:rFonts w:eastAsia="Times New Roman"/>
        </w:rPr>
        <w:t xml:space="preserve">) </w:t>
      </w:r>
      <w:r w:rsidRPr="537195A4">
        <w:rPr>
          <w:rFonts w:eastAsia="Times New Roman"/>
        </w:rPr>
        <w:t>will apply.</w:t>
      </w:r>
    </w:p>
    <w:p w14:paraId="06D527E6" w14:textId="49109843" w:rsidR="00770C33" w:rsidRPr="00DF3097" w:rsidRDefault="00770C33" w:rsidP="00770C33">
      <w:pPr>
        <w:pStyle w:val="LPLCChecklistlevel2"/>
        <w:rPr>
          <w:rFonts w:eastAsia="Times New Roman"/>
        </w:rPr>
      </w:pPr>
      <w:r w:rsidRPr="537195A4">
        <w:rPr>
          <w:rFonts w:eastAsia="Times New Roman"/>
        </w:rPr>
        <w:t>What was the value of the building work? Was it more than $20,000?</w:t>
      </w:r>
    </w:p>
    <w:p w14:paraId="3A9DF85B" w14:textId="72F3FA30" w:rsidR="00C6722E" w:rsidRDefault="002465F9">
      <w:pPr>
        <w:pStyle w:val="LPLCChecklistlevel2"/>
        <w:rPr>
          <w:rFonts w:eastAsia="Times New Roman"/>
        </w:rPr>
      </w:pPr>
      <w:r w:rsidRPr="537195A4">
        <w:rPr>
          <w:rFonts w:eastAsia="Times New Roman"/>
        </w:rPr>
        <w:t>Was a certificate of consent obtained from the Building and Plumbing Commission before the works started? From 1 July 2026 statutory insurance scheme cover is only available where the works were done under a certificate of consent</w:t>
      </w:r>
      <w:r w:rsidR="00980B29" w:rsidRPr="537195A4">
        <w:rPr>
          <w:rFonts w:eastAsia="Times New Roman"/>
        </w:rPr>
        <w:t xml:space="preserve"> and the value of the work was greater than $20,000</w:t>
      </w:r>
      <w:r w:rsidRPr="537195A4">
        <w:rPr>
          <w:rFonts w:eastAsia="Times New Roman"/>
        </w:rPr>
        <w:t>.</w:t>
      </w:r>
    </w:p>
    <w:p w14:paraId="3A686517" w14:textId="77777777" w:rsidR="00770C33" w:rsidRPr="00DF3097" w:rsidRDefault="00770C33" w:rsidP="00770C33">
      <w:pPr>
        <w:pStyle w:val="LPLCChecklistlevel2"/>
        <w:rPr>
          <w:rFonts w:eastAsia="Times New Roman"/>
        </w:rPr>
      </w:pPr>
      <w:r w:rsidRPr="537195A4">
        <w:rPr>
          <w:rFonts w:eastAsia="Times New Roman"/>
        </w:rPr>
        <w:t>When did the building work commence and finish?</w:t>
      </w:r>
    </w:p>
    <w:p w14:paraId="51FB0895" w14:textId="77777777" w:rsidR="00770C33" w:rsidRPr="00DF3097" w:rsidRDefault="00770C33" w:rsidP="00770C33">
      <w:pPr>
        <w:pStyle w:val="LPLCChecklistlevel2"/>
        <w:rPr>
          <w:rFonts w:eastAsia="Times New Roman"/>
        </w:rPr>
      </w:pPr>
      <w:proofErr w:type="gramStart"/>
      <w:r>
        <w:rPr>
          <w:rFonts w:eastAsia="Times New Roman"/>
        </w:rPr>
        <w:t>Was</w:t>
      </w:r>
      <w:proofErr w:type="gramEnd"/>
      <w:r>
        <w:rPr>
          <w:rFonts w:eastAsia="Times New Roman"/>
        </w:rPr>
        <w:t xml:space="preserve"> any occupancy permit or certificate of final inspection issued?</w:t>
      </w:r>
    </w:p>
    <w:p w14:paraId="040D1377" w14:textId="51A43111" w:rsidR="0012214C" w:rsidRDefault="0012214C" w:rsidP="00770C33">
      <w:pPr>
        <w:pStyle w:val="LPLCchecklistlevel1"/>
      </w:pPr>
      <w:r>
        <w:t xml:space="preserve">Were any of the </w:t>
      </w:r>
      <w:r w:rsidR="00F64A4D">
        <w:t xml:space="preserve">works done </w:t>
      </w:r>
      <w:r w:rsidR="386E45CA">
        <w:t>not</w:t>
      </w:r>
      <w:r w:rsidR="00F64A4D">
        <w:t xml:space="preserve"> under a major domestic contract</w:t>
      </w:r>
      <w:r w:rsidR="1DD5ED0C">
        <w:t xml:space="preserve"> with a registered builder</w:t>
      </w:r>
      <w:r w:rsidR="00090350">
        <w:t xml:space="preserve"> (such as DIY works by the vendor)</w:t>
      </w:r>
      <w:r w:rsidR="001E41BB">
        <w:t xml:space="preserve"> that were</w:t>
      </w:r>
      <w:r w:rsidR="00F64A4D">
        <w:t xml:space="preserve"> either structural or </w:t>
      </w:r>
      <w:r w:rsidR="003D1C92">
        <w:t>non-structural, such as?</w:t>
      </w:r>
    </w:p>
    <w:p w14:paraId="07991E92" w14:textId="0E05E4A2" w:rsidR="005B1CB2" w:rsidRPr="00ED154F" w:rsidRDefault="4B633C18" w:rsidP="537195A4">
      <w:pPr>
        <w:pStyle w:val="LPLCChecklistlevel2"/>
        <w:ind w:left="794" w:hanging="397"/>
        <w:rPr>
          <w:rFonts w:eastAsia="Times New Roman"/>
        </w:rPr>
      </w:pPr>
      <w:r w:rsidRPr="537195A4">
        <w:rPr>
          <w:rFonts w:eastAsia="Times New Roman"/>
        </w:rPr>
        <w:t>c</w:t>
      </w:r>
      <w:r w:rsidR="005B1CB2" w:rsidRPr="537195A4">
        <w:rPr>
          <w:rFonts w:eastAsia="Times New Roman"/>
        </w:rPr>
        <w:t>osmetic works</w:t>
      </w:r>
    </w:p>
    <w:p w14:paraId="18367739" w14:textId="77777777" w:rsidR="005B1CB2" w:rsidRPr="00ED154F" w:rsidRDefault="005B1CB2" w:rsidP="537195A4">
      <w:pPr>
        <w:pStyle w:val="LPLCChecklistlevel2"/>
        <w:ind w:left="794" w:hanging="397"/>
        <w:rPr>
          <w:rFonts w:eastAsia="Times New Roman"/>
        </w:rPr>
      </w:pPr>
      <w:r w:rsidRPr="537195A4">
        <w:rPr>
          <w:rFonts w:eastAsia="Times New Roman"/>
        </w:rPr>
        <w:t xml:space="preserve">granny flats, </w:t>
      </w:r>
    </w:p>
    <w:p w14:paraId="7C887150" w14:textId="77777777" w:rsidR="005B1CB2" w:rsidRPr="00ED154F" w:rsidRDefault="005B1CB2" w:rsidP="537195A4">
      <w:pPr>
        <w:pStyle w:val="LPLCChecklistlevel2"/>
        <w:ind w:left="794" w:hanging="397"/>
        <w:rPr>
          <w:rFonts w:eastAsia="Times New Roman"/>
        </w:rPr>
      </w:pPr>
      <w:r w:rsidRPr="537195A4">
        <w:rPr>
          <w:rFonts w:eastAsia="Times New Roman"/>
        </w:rPr>
        <w:t xml:space="preserve">sheds, </w:t>
      </w:r>
    </w:p>
    <w:p w14:paraId="196FFF54" w14:textId="77777777" w:rsidR="005B1CB2" w:rsidRPr="00ED154F" w:rsidRDefault="005B1CB2" w:rsidP="537195A4">
      <w:pPr>
        <w:pStyle w:val="LPLCChecklistlevel2"/>
        <w:ind w:left="794" w:hanging="397"/>
        <w:rPr>
          <w:rFonts w:eastAsia="Times New Roman"/>
        </w:rPr>
      </w:pPr>
      <w:r w:rsidRPr="537195A4">
        <w:rPr>
          <w:rFonts w:eastAsia="Times New Roman"/>
        </w:rPr>
        <w:t xml:space="preserve">pergolas, decks, </w:t>
      </w:r>
    </w:p>
    <w:p w14:paraId="78A2F754" w14:textId="77777777" w:rsidR="005B1CB2" w:rsidRPr="00ED154F" w:rsidRDefault="005B1CB2" w:rsidP="537195A4">
      <w:pPr>
        <w:pStyle w:val="LPLCChecklistlevel2"/>
        <w:ind w:left="794" w:hanging="397"/>
        <w:rPr>
          <w:rFonts w:eastAsia="Times New Roman"/>
        </w:rPr>
      </w:pPr>
      <w:r w:rsidRPr="537195A4">
        <w:rPr>
          <w:rFonts w:eastAsia="Times New Roman"/>
        </w:rPr>
        <w:t xml:space="preserve">verandas, </w:t>
      </w:r>
    </w:p>
    <w:p w14:paraId="1EF74C1A" w14:textId="77777777" w:rsidR="005B1CB2" w:rsidRPr="00ED154F" w:rsidRDefault="005B1CB2" w:rsidP="537195A4">
      <w:pPr>
        <w:pStyle w:val="LPLCChecklistlevel2"/>
        <w:ind w:left="794" w:hanging="397"/>
        <w:rPr>
          <w:rFonts w:eastAsia="Times New Roman"/>
        </w:rPr>
      </w:pPr>
      <w:r w:rsidRPr="537195A4">
        <w:rPr>
          <w:rFonts w:eastAsia="Times New Roman"/>
        </w:rPr>
        <w:t xml:space="preserve">kitchen or bathroom renovations, </w:t>
      </w:r>
    </w:p>
    <w:p w14:paraId="102F3B38" w14:textId="77777777" w:rsidR="005B1CB2" w:rsidRPr="00ED154F" w:rsidRDefault="005B1CB2" w:rsidP="537195A4">
      <w:pPr>
        <w:pStyle w:val="LPLCChecklistlevel2"/>
        <w:ind w:left="794" w:hanging="397"/>
        <w:rPr>
          <w:rFonts w:eastAsia="Times New Roman"/>
        </w:rPr>
      </w:pPr>
      <w:r w:rsidRPr="537195A4">
        <w:rPr>
          <w:rFonts w:eastAsia="Times New Roman"/>
        </w:rPr>
        <w:t xml:space="preserve">partition walls, </w:t>
      </w:r>
    </w:p>
    <w:p w14:paraId="7EFF888A" w14:textId="77777777" w:rsidR="005B1CB2" w:rsidRPr="00ED154F" w:rsidRDefault="005B1CB2" w:rsidP="537195A4">
      <w:pPr>
        <w:pStyle w:val="LPLCChecklistlevel2"/>
        <w:ind w:left="794" w:hanging="397"/>
        <w:rPr>
          <w:rFonts w:eastAsia="Times New Roman"/>
        </w:rPr>
      </w:pPr>
      <w:r w:rsidRPr="537195A4">
        <w:rPr>
          <w:rFonts w:eastAsia="Times New Roman"/>
        </w:rPr>
        <w:t xml:space="preserve">re-stumping, </w:t>
      </w:r>
    </w:p>
    <w:p w14:paraId="2C2614FD" w14:textId="77777777" w:rsidR="005B1CB2" w:rsidRPr="00ED154F" w:rsidRDefault="005B1CB2" w:rsidP="537195A4">
      <w:pPr>
        <w:pStyle w:val="LPLCChecklistlevel2"/>
        <w:ind w:left="794" w:hanging="397"/>
        <w:rPr>
          <w:rFonts w:eastAsia="Times New Roman"/>
        </w:rPr>
      </w:pPr>
      <w:r w:rsidRPr="537195A4">
        <w:rPr>
          <w:rFonts w:eastAsia="Times New Roman"/>
        </w:rPr>
        <w:t>retaining walls</w:t>
      </w:r>
    </w:p>
    <w:p w14:paraId="0A05F607" w14:textId="4BFFF551" w:rsidR="003D1C92" w:rsidRPr="00ED154F" w:rsidRDefault="005B1CB2" w:rsidP="537195A4">
      <w:pPr>
        <w:pStyle w:val="LPLCChecklistlevel2"/>
        <w:ind w:left="794" w:hanging="397"/>
        <w:rPr>
          <w:rFonts w:eastAsia="Times New Roman"/>
        </w:rPr>
      </w:pPr>
      <w:r w:rsidRPr="537195A4">
        <w:rPr>
          <w:rFonts w:eastAsia="Times New Roman"/>
        </w:rPr>
        <w:t>etc</w:t>
      </w:r>
    </w:p>
    <w:p w14:paraId="449A2680" w14:textId="5D6826FF" w:rsidR="005B1CB2" w:rsidRPr="00ED154F" w:rsidRDefault="005B1CB2" w:rsidP="537195A4">
      <w:pPr>
        <w:pStyle w:val="LPLCChecklistlevel2"/>
        <w:ind w:left="794" w:hanging="397"/>
        <w:rPr>
          <w:rFonts w:eastAsia="Times New Roman"/>
        </w:rPr>
      </w:pPr>
      <w:r w:rsidRPr="537195A4">
        <w:rPr>
          <w:rFonts w:eastAsia="Times New Roman"/>
        </w:rPr>
        <w:lastRenderedPageBreak/>
        <w:t xml:space="preserve">Is so, the works could be considered as owner-builder works and </w:t>
      </w:r>
      <w:hyperlink r:id="rId25">
        <w:r>
          <w:t>sections 137B</w:t>
        </w:r>
      </w:hyperlink>
      <w:r w:rsidRPr="537195A4">
        <w:rPr>
          <w:rFonts w:eastAsia="Times New Roman"/>
        </w:rPr>
        <w:t xml:space="preserve"> and </w:t>
      </w:r>
      <w:hyperlink r:id="rId26">
        <w:r>
          <w:t>137C</w:t>
        </w:r>
      </w:hyperlink>
      <w:r w:rsidRPr="537195A4">
        <w:rPr>
          <w:rFonts w:eastAsia="Times New Roman"/>
        </w:rPr>
        <w:t xml:space="preserve"> of the Building Act </w:t>
      </w:r>
      <w:r w:rsidR="00F23F5C" w:rsidRPr="537195A4">
        <w:rPr>
          <w:rFonts w:eastAsia="Times New Roman"/>
        </w:rPr>
        <w:t>may</w:t>
      </w:r>
      <w:r w:rsidRPr="537195A4">
        <w:rPr>
          <w:rFonts w:eastAsia="Times New Roman"/>
        </w:rPr>
        <w:t xml:space="preserve"> apply.</w:t>
      </w:r>
    </w:p>
    <w:p w14:paraId="07073C82" w14:textId="2D98A74E" w:rsidR="00925724" w:rsidRDefault="00770C33" w:rsidP="00770C33">
      <w:pPr>
        <w:pStyle w:val="LPLCchecklistlevel1"/>
      </w:pPr>
      <w:r>
        <w:t>Where your client is an owner</w:t>
      </w:r>
      <w:r w:rsidR="001C1E2C">
        <w:t>-</w:t>
      </w:r>
      <w:r>
        <w:t>builder warn them in writing</w:t>
      </w:r>
      <w:r w:rsidR="00925724">
        <w:t>:</w:t>
      </w:r>
      <w:r>
        <w:t xml:space="preserve"> </w:t>
      </w:r>
    </w:p>
    <w:p w14:paraId="556A7048" w14:textId="1DA9AAB1" w:rsidR="00D90443" w:rsidRPr="00ED154F" w:rsidRDefault="00770C33" w:rsidP="537195A4">
      <w:pPr>
        <w:pStyle w:val="LPLCChecklistlevel2"/>
        <w:ind w:left="794" w:hanging="397"/>
        <w:rPr>
          <w:rFonts w:eastAsia="Times New Roman"/>
        </w:rPr>
      </w:pPr>
      <w:r w:rsidRPr="537195A4">
        <w:rPr>
          <w:rFonts w:eastAsia="Times New Roman"/>
        </w:rPr>
        <w:t xml:space="preserve">of the need to provide </w:t>
      </w:r>
      <w:r w:rsidR="00403437" w:rsidRPr="537195A4">
        <w:rPr>
          <w:rFonts w:eastAsia="Times New Roman"/>
        </w:rPr>
        <w:t xml:space="preserve">to the purchaser </w:t>
      </w:r>
      <w:r w:rsidRPr="537195A4">
        <w:rPr>
          <w:rFonts w:eastAsia="Times New Roman"/>
        </w:rPr>
        <w:t>a condition report</w:t>
      </w:r>
      <w:r w:rsidR="00403437" w:rsidRPr="537195A4">
        <w:rPr>
          <w:rFonts w:eastAsia="Times New Roman"/>
        </w:rPr>
        <w:t xml:space="preserve"> and statutory insurance (if applicable</w:t>
      </w:r>
      <w:r w:rsidR="00925724" w:rsidRPr="537195A4">
        <w:rPr>
          <w:rFonts w:eastAsia="Times New Roman"/>
        </w:rPr>
        <w:t>)</w:t>
      </w:r>
      <w:r w:rsidR="00403437" w:rsidRPr="537195A4">
        <w:rPr>
          <w:rFonts w:eastAsia="Times New Roman"/>
        </w:rPr>
        <w:t xml:space="preserve">, before the contract is entered into, </w:t>
      </w:r>
    </w:p>
    <w:p w14:paraId="25019772" w14:textId="1F75E295" w:rsidR="00D90443" w:rsidRPr="00ED154F" w:rsidRDefault="00403437" w:rsidP="537195A4">
      <w:pPr>
        <w:pStyle w:val="LPLCChecklistlevel2"/>
        <w:ind w:left="794" w:hanging="397"/>
        <w:rPr>
          <w:rFonts w:eastAsia="Times New Roman"/>
        </w:rPr>
      </w:pPr>
      <w:r w:rsidRPr="537195A4">
        <w:rPr>
          <w:rFonts w:eastAsia="Times New Roman"/>
        </w:rPr>
        <w:t>that any</w:t>
      </w:r>
      <w:r w:rsidR="00D90443" w:rsidRPr="537195A4">
        <w:rPr>
          <w:rFonts w:eastAsia="Times New Roman"/>
        </w:rPr>
        <w:t xml:space="preserve"> applicable</w:t>
      </w:r>
      <w:r w:rsidRPr="537195A4">
        <w:rPr>
          <w:rFonts w:eastAsia="Times New Roman"/>
        </w:rPr>
        <w:t xml:space="preserve"> </w:t>
      </w:r>
      <w:r w:rsidR="00925724" w:rsidRPr="537195A4">
        <w:rPr>
          <w:rFonts w:eastAsia="Times New Roman"/>
        </w:rPr>
        <w:t xml:space="preserve">owner-builder statutory insurance </w:t>
      </w:r>
      <w:r w:rsidR="00D90443" w:rsidRPr="537195A4">
        <w:rPr>
          <w:rFonts w:eastAsia="Times New Roman"/>
        </w:rPr>
        <w:t>must be correctly disclosed in the section 32 statement</w:t>
      </w:r>
      <w:r w:rsidR="00C32B87" w:rsidRPr="537195A4">
        <w:rPr>
          <w:rFonts w:eastAsia="Times New Roman"/>
        </w:rPr>
        <w:t>,</w:t>
      </w:r>
    </w:p>
    <w:p w14:paraId="2685252E" w14:textId="073E8A21" w:rsidR="00770C33" w:rsidRPr="00ED154F" w:rsidRDefault="00D90443" w:rsidP="537195A4">
      <w:pPr>
        <w:pStyle w:val="LPLCChecklistlevel2"/>
        <w:ind w:left="794" w:hanging="397"/>
        <w:rPr>
          <w:rFonts w:eastAsia="Times New Roman"/>
        </w:rPr>
      </w:pPr>
      <w:r w:rsidRPr="537195A4">
        <w:rPr>
          <w:rFonts w:eastAsia="Times New Roman"/>
        </w:rPr>
        <w:t>advise the client of</w:t>
      </w:r>
      <w:r w:rsidR="00770C33" w:rsidRPr="537195A4">
        <w:rPr>
          <w:rFonts w:eastAsia="Times New Roman"/>
        </w:rPr>
        <w:t xml:space="preserve"> the consequences of non-compliance</w:t>
      </w:r>
      <w:r w:rsidRPr="537195A4">
        <w:rPr>
          <w:rFonts w:eastAsia="Times New Roman"/>
        </w:rPr>
        <w:t xml:space="preserve"> with section </w:t>
      </w:r>
      <w:r w:rsidR="004F5531" w:rsidRPr="537195A4">
        <w:rPr>
          <w:rFonts w:eastAsia="Times New Roman"/>
        </w:rPr>
        <w:t>1</w:t>
      </w:r>
      <w:r w:rsidRPr="537195A4">
        <w:rPr>
          <w:rFonts w:eastAsia="Times New Roman"/>
        </w:rPr>
        <w:t>37B</w:t>
      </w:r>
      <w:r w:rsidR="00CF0872" w:rsidRPr="537195A4">
        <w:rPr>
          <w:rFonts w:eastAsia="Times New Roman"/>
        </w:rPr>
        <w:t xml:space="preserve"> of the</w:t>
      </w:r>
      <w:r w:rsidR="00F23F5C" w:rsidRPr="537195A4">
        <w:rPr>
          <w:rFonts w:eastAsia="Times New Roman"/>
        </w:rPr>
        <w:t xml:space="preserve"> Building Act</w:t>
      </w:r>
      <w:r w:rsidR="00770C33" w:rsidRPr="537195A4">
        <w:rPr>
          <w:rFonts w:eastAsia="Times New Roman"/>
        </w:rPr>
        <w:t>.</w:t>
      </w:r>
      <w:r w:rsidR="00F23F5C" w:rsidRPr="537195A4">
        <w:rPr>
          <w:rFonts w:eastAsia="Times New Roman"/>
        </w:rPr>
        <w:t xml:space="preserve"> </w:t>
      </w:r>
      <w:proofErr w:type="gramStart"/>
      <w:r w:rsidR="00F23F5C" w:rsidRPr="537195A4">
        <w:rPr>
          <w:rFonts w:eastAsia="Times New Roman"/>
        </w:rPr>
        <w:t>In particular, that</w:t>
      </w:r>
      <w:proofErr w:type="gramEnd"/>
      <w:r w:rsidR="00770C33" w:rsidRPr="537195A4">
        <w:rPr>
          <w:rFonts w:eastAsia="Times New Roman"/>
        </w:rPr>
        <w:t xml:space="preserve"> </w:t>
      </w:r>
      <w:r w:rsidR="00F23F5C" w:rsidRPr="537195A4">
        <w:rPr>
          <w:rFonts w:eastAsia="Times New Roman"/>
        </w:rPr>
        <w:t>n</w:t>
      </w:r>
      <w:r w:rsidR="00770C33" w:rsidRPr="537195A4">
        <w:rPr>
          <w:rFonts w:eastAsia="Times New Roman"/>
        </w:rPr>
        <w:t>on-compliance makes the contract voidable by the purchaser at any time before settlement and cannot be cured after signing, so give this advice before the contract of sale is prepared.</w:t>
      </w:r>
    </w:p>
    <w:p w14:paraId="114F90B7" w14:textId="77777777" w:rsidR="00476384" w:rsidRDefault="00770C33" w:rsidP="00770C33">
      <w:pPr>
        <w:pStyle w:val="LPLCchecklistlevel1"/>
      </w:pPr>
      <w:r>
        <w:t xml:space="preserve">If the </w:t>
      </w:r>
      <w:r w:rsidR="00C32B87">
        <w:t>owner-</w:t>
      </w:r>
      <w:proofErr w:type="gramStart"/>
      <w:r w:rsidR="00C32B87">
        <w:t>builder</w:t>
      </w:r>
      <w:proofErr w:type="gramEnd"/>
      <w:r w:rsidR="00C32B87">
        <w:t xml:space="preserve"> </w:t>
      </w:r>
      <w:r>
        <w:t>requirements apply, ensure</w:t>
      </w:r>
      <w:r w:rsidR="00C32B87">
        <w:t xml:space="preserve"> that:</w:t>
      </w:r>
    </w:p>
    <w:p w14:paraId="2FAAB1A5" w14:textId="0A7AAF97" w:rsidR="00476384" w:rsidRPr="00ED154F" w:rsidRDefault="00770C33" w:rsidP="537195A4">
      <w:pPr>
        <w:pStyle w:val="LPLCChecklistlevel2"/>
        <w:ind w:left="794" w:hanging="397"/>
        <w:rPr>
          <w:rFonts w:eastAsia="Times New Roman"/>
        </w:rPr>
      </w:pPr>
      <w:r w:rsidRPr="00476384" w:rsidDel="00C32B87">
        <w:rPr>
          <w:rFonts w:eastAsia="Times New Roman"/>
        </w:rPr>
        <w:t xml:space="preserve">the condition report and </w:t>
      </w:r>
      <w:r w:rsidRPr="537195A4">
        <w:rPr>
          <w:rFonts w:eastAsia="Times New Roman"/>
        </w:rPr>
        <w:t xml:space="preserve">notice of cover (where the statutory insurance scheme applies) are provided with the </w:t>
      </w:r>
      <w:hyperlink r:id="rId27" w:history="1">
        <w:r>
          <w:t>section 32</w:t>
        </w:r>
      </w:hyperlink>
      <w:r w:rsidRPr="537195A4">
        <w:rPr>
          <w:rFonts w:eastAsia="Times New Roman"/>
        </w:rPr>
        <w:t xml:space="preserve"> statement and the </w:t>
      </w:r>
      <w:hyperlink r:id="rId28" w:history="1">
        <w:r>
          <w:t>section 137C</w:t>
        </w:r>
      </w:hyperlink>
      <w:r w:rsidRPr="537195A4">
        <w:rPr>
          <w:rFonts w:eastAsia="Times New Roman"/>
        </w:rPr>
        <w:t xml:space="preserve"> warranties are set out in the contract. </w:t>
      </w:r>
    </w:p>
    <w:p w14:paraId="5CF02283" w14:textId="14E266BE" w:rsidR="00770C33" w:rsidRPr="00ED154F" w:rsidRDefault="628B25A9" w:rsidP="537195A4">
      <w:pPr>
        <w:pStyle w:val="LPLCChecklistlevel2"/>
        <w:ind w:left="794" w:hanging="397"/>
        <w:rPr>
          <w:rFonts w:eastAsia="Times New Roman"/>
        </w:rPr>
      </w:pPr>
      <w:r w:rsidRPr="537195A4">
        <w:rPr>
          <w:rFonts w:eastAsia="Times New Roman"/>
        </w:rPr>
        <w:t>t</w:t>
      </w:r>
      <w:r w:rsidR="00476384" w:rsidRPr="537195A4">
        <w:rPr>
          <w:rFonts w:eastAsia="Times New Roman"/>
        </w:rPr>
        <w:t>he statutory insurance s</w:t>
      </w:r>
      <w:r w:rsidR="00770C33" w:rsidRPr="537195A4">
        <w:rPr>
          <w:rFonts w:eastAsia="Times New Roman"/>
        </w:rPr>
        <w:t xml:space="preserve">cheme cover is only required where the works were domestic building work of more than $20,000, done under a certificate of consent, the sale is within six years of the completion date, and the premium must be paid before the section 32 statement is given. The condition report and </w:t>
      </w:r>
      <w:r w:rsidR="004F5531" w:rsidRPr="537195A4">
        <w:rPr>
          <w:rFonts w:eastAsia="Times New Roman"/>
        </w:rPr>
        <w:t xml:space="preserve">section 137C </w:t>
      </w:r>
      <w:r w:rsidR="00770C33" w:rsidRPr="537195A4">
        <w:rPr>
          <w:rFonts w:eastAsia="Times New Roman"/>
        </w:rPr>
        <w:t>warranties are required regardless of value or whether a certificate of consent was obtained</w:t>
      </w:r>
      <w:r w:rsidR="006B03D1" w:rsidRPr="537195A4">
        <w:rPr>
          <w:rFonts w:eastAsia="Times New Roman"/>
        </w:rPr>
        <w:t xml:space="preserve"> or not</w:t>
      </w:r>
      <w:r w:rsidR="00770C33" w:rsidRPr="537195A4">
        <w:rPr>
          <w:rFonts w:eastAsia="Times New Roman"/>
        </w:rPr>
        <w:t>.</w:t>
      </w:r>
    </w:p>
    <w:p w14:paraId="0368DC67" w14:textId="77777777" w:rsidR="00770C33" w:rsidRDefault="00770C33" w:rsidP="00476384">
      <w:pPr>
        <w:pStyle w:val="LPLCChecklistlevel2"/>
        <w:ind w:left="794" w:hanging="397"/>
        <w:rPr>
          <w:rFonts w:eastAsia="Times New Roman"/>
        </w:rPr>
      </w:pPr>
      <w:r w:rsidRPr="537195A4">
        <w:rPr>
          <w:rFonts w:eastAsia="Times New Roman"/>
        </w:rPr>
        <w:t>When the section 32 statement contains an owner builder condition report, confirm in writing when sending the statement to the client or the real estate agent that the section 32 statement should not be used if the condition report is more than six months old and the consequences if it is used.</w:t>
      </w:r>
    </w:p>
    <w:p w14:paraId="74F8580D" w14:textId="648516B9" w:rsidR="00810058" w:rsidRDefault="00810058" w:rsidP="537195A4">
      <w:pPr>
        <w:pStyle w:val="LPLCChecklistlevel2"/>
        <w:numPr>
          <w:ilvl w:val="0"/>
          <w:numId w:val="0"/>
        </w:numPr>
        <w:ind w:left="360"/>
        <w:rPr>
          <w:rFonts w:eastAsia="Times New Roman"/>
        </w:rPr>
      </w:pPr>
      <w:r w:rsidRPr="537195A4">
        <w:rPr>
          <w:rFonts w:eastAsia="Times New Roman"/>
        </w:rPr>
        <w:t xml:space="preserve">For further assistance on dealing with owner-builder issues, practitioners may wish to </w:t>
      </w:r>
      <w:r w:rsidR="00906D8D" w:rsidRPr="537195A4">
        <w:rPr>
          <w:rFonts w:eastAsia="Times New Roman"/>
        </w:rPr>
        <w:t>refer to the following LPLC resources:</w:t>
      </w:r>
    </w:p>
    <w:p w14:paraId="258B0BB9" w14:textId="333ED2D3" w:rsidR="006B03D1" w:rsidRPr="006B03D1" w:rsidRDefault="006B03D1" w:rsidP="006B03D1">
      <w:pPr>
        <w:pStyle w:val="LPLCChecklistlevel2"/>
        <w:rPr>
          <w:rFonts w:eastAsia="Times New Roman"/>
          <w:lang w:eastAsia="en-AU"/>
        </w:rPr>
      </w:pPr>
      <w:hyperlink r:id="rId29" w:history="1">
        <w:r w:rsidRPr="7C118CC4">
          <w:rPr>
            <w:rStyle w:val="Hyperlink"/>
            <w:rFonts w:eastAsia="Times New Roman"/>
            <w:sz w:val="22"/>
            <w:lang w:eastAsia="en-AU"/>
          </w:rPr>
          <w:t>Acting for a vendor? Changes to owner-builder insurance from 1 July 2026</w:t>
        </w:r>
      </w:hyperlink>
    </w:p>
    <w:p w14:paraId="166AAC2C" w14:textId="1A0A9DC2" w:rsidR="00906D8D" w:rsidRPr="00ED154F" w:rsidRDefault="007B1FBD" w:rsidP="7C118CC4">
      <w:pPr>
        <w:pStyle w:val="LPLCChecklistlevel2"/>
        <w:rPr>
          <w:rStyle w:val="Hyperlink"/>
          <w:rFonts w:eastAsia="Times New Roman"/>
          <w:sz w:val="22"/>
          <w:lang w:eastAsia="en-AU"/>
        </w:rPr>
      </w:pPr>
      <w:hyperlink r:id="rId30" w:history="1">
        <w:r w:rsidRPr="7C118CC4">
          <w:rPr>
            <w:rStyle w:val="Hyperlink"/>
            <w:rFonts w:eastAsia="Times New Roman"/>
            <w:sz w:val="22"/>
            <w:lang w:eastAsia="en-AU"/>
          </w:rPr>
          <w:t>Owner-builders and the section 32: How the law changed on 1 July</w:t>
        </w:r>
      </w:hyperlink>
    </w:p>
    <w:p w14:paraId="68DC029A"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t>GST</w:t>
      </w:r>
    </w:p>
    <w:p w14:paraId="5B5CCE12" w14:textId="77777777" w:rsidR="00770C33" w:rsidRPr="00DF3097" w:rsidRDefault="00770C33" w:rsidP="00770C33">
      <w:pPr>
        <w:pStyle w:val="LPLCchecklistlevel1"/>
      </w:pPr>
      <w:r>
        <w:t>Consider whether the GST threshold criteria are present.</w:t>
      </w:r>
    </w:p>
    <w:p w14:paraId="125A799C" w14:textId="77777777" w:rsidR="00770C33" w:rsidRPr="00DF3097" w:rsidRDefault="00770C33" w:rsidP="00770C33">
      <w:pPr>
        <w:pStyle w:val="LPLCChecklistlevel2"/>
        <w:rPr>
          <w:rFonts w:eastAsia="Times New Roman"/>
          <w:lang w:eastAsia="en-AU"/>
        </w:rPr>
      </w:pPr>
      <w:r>
        <w:rPr>
          <w:rFonts w:eastAsia="Times New Roman"/>
          <w:lang w:eastAsia="en-AU"/>
        </w:rPr>
        <w:t>Is the vendor registered or required to be registered for GST?</w:t>
      </w:r>
    </w:p>
    <w:p w14:paraId="33F80CD2" w14:textId="77777777" w:rsidR="00770C33" w:rsidRPr="00DF3097" w:rsidRDefault="00770C33" w:rsidP="00770C33">
      <w:pPr>
        <w:pStyle w:val="LPLCChecklistlevel2"/>
        <w:rPr>
          <w:rFonts w:eastAsia="Times New Roman"/>
          <w:lang w:eastAsia="en-AU"/>
        </w:rPr>
      </w:pPr>
      <w:r>
        <w:rPr>
          <w:rFonts w:eastAsia="Times New Roman"/>
          <w:lang w:eastAsia="en-AU"/>
        </w:rPr>
        <w:t>Is the sale in the course or furtherance of an enterprise?</w:t>
      </w:r>
    </w:p>
    <w:p w14:paraId="4E10A224" w14:textId="77777777" w:rsidR="00770C33" w:rsidRPr="00DF3097" w:rsidRDefault="00770C33" w:rsidP="00770C33">
      <w:pPr>
        <w:pStyle w:val="LPLCchecklistlevel1"/>
      </w:pPr>
      <w:r>
        <w:t>If yes to both questions, consider whether the property being sold will attract GST.</w:t>
      </w:r>
    </w:p>
    <w:p w14:paraId="6F290E5A" w14:textId="77777777" w:rsidR="00770C33" w:rsidRPr="00DF3097" w:rsidRDefault="00770C33" w:rsidP="00770C33">
      <w:pPr>
        <w:pStyle w:val="LPLCChecklistlevel2"/>
        <w:rPr>
          <w:rFonts w:eastAsia="Times New Roman"/>
          <w:lang w:eastAsia="en-AU"/>
        </w:rPr>
      </w:pPr>
      <w:r>
        <w:rPr>
          <w:rFonts w:eastAsia="Times New Roman"/>
          <w:lang w:eastAsia="en-AU"/>
        </w:rPr>
        <w:t>Is it vacant land including residential vacant land?</w:t>
      </w:r>
    </w:p>
    <w:p w14:paraId="15187348" w14:textId="77777777" w:rsidR="00770C33" w:rsidRPr="00DF3097" w:rsidRDefault="00770C33" w:rsidP="00770C33">
      <w:pPr>
        <w:pStyle w:val="LPLCChecklistlevel2"/>
        <w:rPr>
          <w:rFonts w:eastAsia="Times New Roman"/>
          <w:lang w:eastAsia="en-AU"/>
        </w:rPr>
      </w:pPr>
      <w:r>
        <w:rPr>
          <w:rFonts w:eastAsia="Times New Roman"/>
          <w:lang w:eastAsia="en-AU"/>
        </w:rPr>
        <w:t>Is it new residential premises including substantially renovated premises?</w:t>
      </w:r>
    </w:p>
    <w:p w14:paraId="660B49E0" w14:textId="77777777" w:rsidR="00770C33" w:rsidRPr="00DF3097" w:rsidRDefault="00770C33" w:rsidP="00770C33">
      <w:pPr>
        <w:pStyle w:val="LPLCChecklistlevel2"/>
        <w:rPr>
          <w:rFonts w:eastAsia="Times New Roman"/>
          <w:lang w:eastAsia="en-AU"/>
        </w:rPr>
      </w:pPr>
      <w:r>
        <w:rPr>
          <w:rFonts w:eastAsia="Times New Roman"/>
          <w:lang w:eastAsia="en-AU"/>
        </w:rPr>
        <w:lastRenderedPageBreak/>
        <w:t>Is it commercial residential premises?</w:t>
      </w:r>
    </w:p>
    <w:p w14:paraId="5A1E0378" w14:textId="77777777" w:rsidR="00770C33" w:rsidRPr="00DF3097" w:rsidRDefault="00770C33" w:rsidP="00770C33">
      <w:pPr>
        <w:pStyle w:val="LPLCChecklistlevel2"/>
        <w:rPr>
          <w:rFonts w:eastAsia="Times New Roman"/>
          <w:lang w:eastAsia="en-AU"/>
        </w:rPr>
      </w:pPr>
      <w:r>
        <w:rPr>
          <w:rFonts w:eastAsia="Times New Roman"/>
          <w:lang w:eastAsia="en-AU"/>
        </w:rPr>
        <w:t>Is it non-residential premises?</w:t>
      </w:r>
    </w:p>
    <w:p w14:paraId="4C77FE6A" w14:textId="39B094EC" w:rsidR="00770C33" w:rsidRPr="00DF3097" w:rsidRDefault="00770C33" w:rsidP="00770C33">
      <w:pPr>
        <w:pStyle w:val="LPLCchecklistlevel1"/>
      </w:pPr>
      <w:r>
        <w:t xml:space="preserve">If the property being sold will attract GST, ensure there is </w:t>
      </w:r>
      <w:proofErr w:type="gramStart"/>
      <w:r>
        <w:t>a clear</w:t>
      </w:r>
      <w:proofErr w:type="gramEnd"/>
      <w:r>
        <w:t xml:space="preserve"> GST treatment in the contract. Consult your client about whether the GST clause should be inclusive</w:t>
      </w:r>
      <w:r w:rsidR="00BE3D5E">
        <w:t xml:space="preserve"> (GST is factored into the sale price)</w:t>
      </w:r>
      <w:r>
        <w:t xml:space="preserve"> or </w:t>
      </w:r>
      <w:proofErr w:type="gramStart"/>
      <w:r>
        <w:t>exclusive</w:t>
      </w:r>
      <w:r w:rsidR="00930F64">
        <w:t xml:space="preserve"> (‘</w:t>
      </w:r>
      <w:proofErr w:type="gramEnd"/>
      <w:r w:rsidR="00930F64">
        <w:t xml:space="preserve">plus GST’ </w:t>
      </w:r>
      <w:r w:rsidR="00906D8D">
        <w:t>in addition to the sale price</w:t>
      </w:r>
      <w:r w:rsidR="00930F64">
        <w:t>)</w:t>
      </w:r>
      <w:r>
        <w:t xml:space="preserve"> and whether the margin scheme is available and could be applied.</w:t>
      </w:r>
    </w:p>
    <w:p w14:paraId="3E0CC55B" w14:textId="3B38B673" w:rsidR="009C64AF" w:rsidRDefault="00770C33" w:rsidP="00770C33">
      <w:pPr>
        <w:pStyle w:val="LPLCchecklistlevel1"/>
      </w:pPr>
      <w:r>
        <w:t>If the margin scheme is to be applied</w:t>
      </w:r>
      <w:r w:rsidR="00522F5E">
        <w:t>:</w:t>
      </w:r>
      <w:r>
        <w:t xml:space="preserve"> </w:t>
      </w:r>
    </w:p>
    <w:p w14:paraId="326810F6" w14:textId="4DF18A2C" w:rsidR="00770C33" w:rsidRPr="00ED154F" w:rsidRDefault="00522F5E" w:rsidP="537195A4">
      <w:pPr>
        <w:pStyle w:val="LPLCChecklistlevel2"/>
        <w:ind w:left="794" w:hanging="397"/>
        <w:rPr>
          <w:rFonts w:eastAsia="Times New Roman"/>
        </w:rPr>
      </w:pPr>
      <w:r w:rsidRPr="537195A4">
        <w:rPr>
          <w:rFonts w:eastAsia="Times New Roman"/>
        </w:rPr>
        <w:t xml:space="preserve">ensure </w:t>
      </w:r>
      <w:r w:rsidR="00770C33" w:rsidRPr="537195A4">
        <w:rPr>
          <w:rFonts w:eastAsia="Times New Roman"/>
        </w:rPr>
        <w:t>there is agreement in writing between the parties to this effect. If a professional valuation is required, advise your client in writing of the time frame in which the valuation must be obtained such as by the end of the tax period in which settlement falls.</w:t>
      </w:r>
    </w:p>
    <w:p w14:paraId="48326872" w14:textId="645FE0CA" w:rsidR="009C64AF" w:rsidRPr="00ED154F" w:rsidRDefault="0806CFEA" w:rsidP="537195A4">
      <w:pPr>
        <w:pStyle w:val="LPLCChecklistlevel2"/>
        <w:ind w:left="794" w:hanging="397"/>
        <w:rPr>
          <w:rFonts w:eastAsia="Times New Roman"/>
        </w:rPr>
      </w:pPr>
      <w:r w:rsidRPr="7C118CC4">
        <w:rPr>
          <w:rFonts w:eastAsia="Times New Roman"/>
        </w:rPr>
        <w:t>w</w:t>
      </w:r>
      <w:r w:rsidR="00522F5E" w:rsidRPr="7C118CC4">
        <w:rPr>
          <w:rFonts w:eastAsia="Times New Roman"/>
        </w:rPr>
        <w:t xml:space="preserve">here </w:t>
      </w:r>
      <w:r w:rsidR="009C64AF" w:rsidRPr="7C118CC4">
        <w:rPr>
          <w:rFonts w:eastAsia="Times New Roman"/>
        </w:rPr>
        <w:t>a nomination occurs</w:t>
      </w:r>
      <w:r w:rsidR="00522F5E" w:rsidRPr="7C118CC4">
        <w:rPr>
          <w:rFonts w:eastAsia="Times New Roman"/>
        </w:rPr>
        <w:t>, ensure that</w:t>
      </w:r>
      <w:r w:rsidR="009C64AF" w:rsidRPr="7C118CC4">
        <w:rPr>
          <w:rFonts w:eastAsia="Times New Roman"/>
        </w:rPr>
        <w:t xml:space="preserve"> there is written agreement between the nominee and the vendor that </w:t>
      </w:r>
      <w:r w:rsidR="00E84606" w:rsidRPr="7C118CC4">
        <w:rPr>
          <w:rFonts w:eastAsia="Times New Roman"/>
        </w:rPr>
        <w:t xml:space="preserve">the </w:t>
      </w:r>
      <w:r w:rsidR="009C64AF" w:rsidRPr="7C118CC4">
        <w:rPr>
          <w:rFonts w:eastAsia="Times New Roman"/>
        </w:rPr>
        <w:t>margin scheme applies</w:t>
      </w:r>
      <w:r w:rsidR="00522F5E" w:rsidRPr="7C118CC4">
        <w:rPr>
          <w:rFonts w:eastAsia="Times New Roman"/>
        </w:rPr>
        <w:t xml:space="preserve"> before settlement occurs.</w:t>
      </w:r>
    </w:p>
    <w:p w14:paraId="5D5F68C9" w14:textId="77777777" w:rsidR="00770C33" w:rsidRPr="00DF3097" w:rsidRDefault="00770C33" w:rsidP="00770C33">
      <w:pPr>
        <w:pStyle w:val="LPLCchecklistlevel1"/>
      </w:pPr>
      <w:r>
        <w:t>If the property is farmland, consider whether:</w:t>
      </w:r>
    </w:p>
    <w:p w14:paraId="3043C26F" w14:textId="77777777" w:rsidR="00770C33" w:rsidRPr="00DF3097" w:rsidRDefault="00770C33" w:rsidP="00770C33">
      <w:pPr>
        <w:pStyle w:val="LPLCChecklistlevel2"/>
        <w:rPr>
          <w:rFonts w:eastAsia="Times New Roman"/>
          <w:lang w:eastAsia="en-AU"/>
        </w:rPr>
      </w:pPr>
      <w:r>
        <w:rPr>
          <w:rFonts w:eastAsia="Times New Roman"/>
          <w:lang w:eastAsia="en-AU"/>
        </w:rPr>
        <w:t xml:space="preserve">the farmland exemption </w:t>
      </w:r>
      <w:r>
        <w:rPr>
          <w:rFonts w:eastAsia="Times New Roman"/>
          <w:color w:val="auto"/>
          <w:lang w:eastAsia="en-AU"/>
        </w:rPr>
        <w:t>(</w:t>
      </w:r>
      <w:hyperlink r:id="rId31" w:history="1">
        <w:r>
          <w:t>section 38-480</w:t>
        </w:r>
      </w:hyperlink>
      <w:r>
        <w:rPr>
          <w:rFonts w:eastAsia="Times New Roman"/>
          <w:color w:val="auto"/>
          <w:lang w:eastAsia="en-AU"/>
        </w:rPr>
        <w:t>)</w:t>
      </w:r>
      <w:r>
        <w:rPr>
          <w:rFonts w:eastAsia="Times New Roman"/>
          <w:lang w:eastAsia="en-AU"/>
        </w:rPr>
        <w:t xml:space="preserve"> will apply and no GST will be payable on the sale of the freehold, although GST will be payable on livestock, plant and equipment</w:t>
      </w:r>
    </w:p>
    <w:p w14:paraId="3286E6E1" w14:textId="77777777" w:rsidR="00770C33" w:rsidRPr="00DF3097" w:rsidRDefault="00770C33" w:rsidP="00770C33">
      <w:pPr>
        <w:pStyle w:val="LPLCChecklistlevel2"/>
        <w:rPr>
          <w:rFonts w:eastAsia="Times New Roman"/>
          <w:lang w:eastAsia="en-AU"/>
        </w:rPr>
      </w:pPr>
      <w:r>
        <w:rPr>
          <w:rFonts w:eastAsia="Times New Roman"/>
          <w:lang w:eastAsia="en-AU"/>
        </w:rPr>
        <w:t xml:space="preserve">the supply of a going concern exemption (section 38-325) will </w:t>
      </w:r>
      <w:proofErr w:type="gramStart"/>
      <w:r>
        <w:rPr>
          <w:rFonts w:eastAsia="Times New Roman"/>
          <w:lang w:eastAsia="en-AU"/>
        </w:rPr>
        <w:t>apply</w:t>
      </w:r>
      <w:proofErr w:type="gramEnd"/>
      <w:r>
        <w:rPr>
          <w:rFonts w:eastAsia="Times New Roman"/>
          <w:lang w:eastAsia="en-AU"/>
        </w:rPr>
        <w:t xml:space="preserve"> and no GST will be payable on the sale of the freehold, livestock, plant and equipment.</w:t>
      </w:r>
    </w:p>
    <w:p w14:paraId="7C54154F" w14:textId="77777777" w:rsidR="00770C33" w:rsidRPr="00DF3097" w:rsidRDefault="00770C33" w:rsidP="00770C33">
      <w:pPr>
        <w:pStyle w:val="LPLCchecklistlevel1"/>
      </w:pPr>
      <w:r>
        <w:t xml:space="preserve">If the property is tenanted commercial premises, consider whether the going </w:t>
      </w:r>
      <w:proofErr w:type="gramStart"/>
      <w:r>
        <w:t>concern</w:t>
      </w:r>
      <w:proofErr w:type="gramEnd"/>
      <w:r>
        <w:t xml:space="preserve"> technical requirements of </w:t>
      </w:r>
      <w:hyperlink r:id="rId32" w:history="1">
        <w:r>
          <w:rPr>
            <w:rStyle w:val="Hyperlink"/>
            <w:rFonts w:cs="Times New Roman"/>
            <w:sz w:val="22"/>
          </w:rPr>
          <w:t>section 38-325</w:t>
        </w:r>
      </w:hyperlink>
      <w:r>
        <w:t xml:space="preserve"> and the ATO ruling </w:t>
      </w:r>
      <w:hyperlink r:id="rId33" w:history="1">
        <w:r>
          <w:rPr>
            <w:rStyle w:val="Hyperlink"/>
            <w:rFonts w:cs="Times New Roman"/>
            <w:sz w:val="22"/>
          </w:rPr>
          <w:t>GSTR 2002/5</w:t>
        </w:r>
      </w:hyperlink>
      <w:r>
        <w:t xml:space="preserve"> are met for no GST to be payable on the sale. In particular:</w:t>
      </w:r>
    </w:p>
    <w:p w14:paraId="40C27428" w14:textId="77777777" w:rsidR="00770C33" w:rsidRPr="00DF3097" w:rsidRDefault="00770C33" w:rsidP="00770C33">
      <w:pPr>
        <w:pStyle w:val="LPLCChecklistlevel2"/>
        <w:rPr>
          <w:rFonts w:eastAsia="Times New Roman"/>
          <w:lang w:eastAsia="en-AU"/>
        </w:rPr>
      </w:pPr>
      <w:r>
        <w:rPr>
          <w:rFonts w:eastAsia="Times New Roman"/>
          <w:lang w:eastAsia="en-AU"/>
        </w:rPr>
        <w:t>the vendor and the purchaser must agree in writing that the supply is of a going concern</w:t>
      </w:r>
    </w:p>
    <w:p w14:paraId="7EEEF121" w14:textId="77777777" w:rsidR="00770C33" w:rsidRPr="00DF3097" w:rsidRDefault="00770C33" w:rsidP="00770C33">
      <w:pPr>
        <w:pStyle w:val="LPLCChecklistlevel2"/>
        <w:rPr>
          <w:rFonts w:eastAsia="Times New Roman"/>
          <w:lang w:eastAsia="en-AU"/>
        </w:rPr>
      </w:pPr>
      <w:r>
        <w:rPr>
          <w:rFonts w:eastAsia="Times New Roman"/>
          <w:lang w:eastAsia="en-AU"/>
        </w:rPr>
        <w:t>the purchaser is registered or required to be registered for GST</w:t>
      </w:r>
    </w:p>
    <w:p w14:paraId="2FA56D95" w14:textId="77777777" w:rsidR="00770C33" w:rsidRPr="00DF3097" w:rsidRDefault="00770C33" w:rsidP="00770C33">
      <w:pPr>
        <w:pStyle w:val="LPLCChecklistlevel2"/>
        <w:rPr>
          <w:rFonts w:eastAsia="Times New Roman"/>
          <w:lang w:eastAsia="en-AU"/>
        </w:rPr>
      </w:pPr>
      <w:r>
        <w:rPr>
          <w:rFonts w:eastAsia="Times New Roman"/>
          <w:lang w:eastAsia="en-AU"/>
        </w:rPr>
        <w:t>the sale is not to the tenant</w:t>
      </w:r>
    </w:p>
    <w:p w14:paraId="7869CADC" w14:textId="77777777" w:rsidR="00770C33" w:rsidRPr="00DF3097" w:rsidRDefault="00770C33" w:rsidP="00770C33">
      <w:pPr>
        <w:pStyle w:val="LPLCChecklistlevel2"/>
        <w:rPr>
          <w:rFonts w:eastAsia="Times New Roman"/>
          <w:lang w:eastAsia="en-AU"/>
        </w:rPr>
      </w:pPr>
      <w:r>
        <w:rPr>
          <w:rFonts w:eastAsia="Times New Roman"/>
          <w:lang w:eastAsia="en-AU"/>
        </w:rPr>
        <w:t>there is a tenant at the date of supply (usually settlement</w:t>
      </w:r>
      <w:proofErr w:type="gramStart"/>
      <w:r>
        <w:rPr>
          <w:rFonts w:eastAsia="Times New Roman"/>
          <w:lang w:eastAsia="en-AU"/>
        </w:rPr>
        <w:t>)</w:t>
      </w:r>
      <w:proofErr w:type="gramEnd"/>
      <w:r>
        <w:rPr>
          <w:rFonts w:eastAsia="Times New Roman"/>
          <w:lang w:eastAsia="en-AU"/>
        </w:rPr>
        <w:t xml:space="preserve"> and the contract provides for receipt of rents and profits, not vacant possession</w:t>
      </w:r>
    </w:p>
    <w:p w14:paraId="0D98630B" w14:textId="77777777" w:rsidR="00770C33" w:rsidRPr="00DF3097" w:rsidRDefault="00770C33" w:rsidP="00770C33">
      <w:pPr>
        <w:pStyle w:val="LPLCChecklistlevel2"/>
        <w:rPr>
          <w:rFonts w:eastAsia="Times New Roman"/>
          <w:lang w:eastAsia="en-AU"/>
        </w:rPr>
      </w:pPr>
      <w:r>
        <w:rPr>
          <w:rFonts w:eastAsia="Times New Roman"/>
          <w:lang w:eastAsia="en-AU"/>
        </w:rPr>
        <w:t>the tenant is in occupation pursuant to a lease or periodic tenancy, not just a tenancy at will</w:t>
      </w:r>
    </w:p>
    <w:p w14:paraId="2A1C600F" w14:textId="77777777" w:rsidR="00770C33" w:rsidRPr="00DF3097" w:rsidRDefault="00770C33" w:rsidP="00770C33">
      <w:pPr>
        <w:pStyle w:val="LPLCChecklistlevel2"/>
        <w:rPr>
          <w:rFonts w:eastAsia="Times New Roman"/>
          <w:lang w:eastAsia="en-AU"/>
        </w:rPr>
      </w:pPr>
      <w:r>
        <w:rPr>
          <w:rFonts w:eastAsia="Times New Roman"/>
          <w:lang w:eastAsia="en-AU"/>
        </w:rPr>
        <w:t xml:space="preserve">if there is a temporary vacancy, it will be necessary to show a new tenant is being actively sought or the property is undergoing necessary refurbishment. However, this will not be sufficient if the premises have never been let (see paragraph 151 of ATO ruling </w:t>
      </w:r>
      <w:hyperlink r:id="rId34" w:history="1">
        <w:r>
          <w:rPr>
            <w:rStyle w:val="Hyperlink"/>
            <w:rFonts w:eastAsia="Times New Roman" w:cs="Times New Roman"/>
            <w:sz w:val="22"/>
            <w:lang w:eastAsia="en-AU"/>
          </w:rPr>
          <w:t>GSTR 2002/5</w:t>
        </w:r>
      </w:hyperlink>
      <w:r>
        <w:rPr>
          <w:rStyle w:val="Hyperlink"/>
          <w:rFonts w:eastAsia="Times New Roman" w:cs="Times New Roman"/>
          <w:sz w:val="22"/>
          <w:lang w:eastAsia="en-AU"/>
        </w:rPr>
        <w:t>)</w:t>
      </w:r>
    </w:p>
    <w:p w14:paraId="1D9DE8BB" w14:textId="77777777" w:rsidR="00770C33" w:rsidRDefault="00770C33" w:rsidP="00770C33">
      <w:pPr>
        <w:pStyle w:val="LPLCChecklistlevel2"/>
        <w:rPr>
          <w:rFonts w:eastAsia="Times New Roman"/>
          <w:lang w:eastAsia="en-AU"/>
        </w:rPr>
      </w:pPr>
      <w:r w:rsidRPr="537195A4">
        <w:rPr>
          <w:rFonts w:eastAsia="Times New Roman"/>
          <w:lang w:eastAsia="en-AU"/>
        </w:rPr>
        <w:t xml:space="preserve">the purchaser does not intend to change the creditable use of the property </w:t>
      </w:r>
      <w:proofErr w:type="gramStart"/>
      <w:r w:rsidRPr="537195A4">
        <w:rPr>
          <w:rFonts w:eastAsia="Times New Roman"/>
          <w:lang w:eastAsia="en-AU"/>
        </w:rPr>
        <w:t>in the near future</w:t>
      </w:r>
      <w:proofErr w:type="gramEnd"/>
      <w:r w:rsidRPr="537195A4">
        <w:rPr>
          <w:rFonts w:eastAsia="Times New Roman"/>
          <w:lang w:eastAsia="en-AU"/>
        </w:rPr>
        <w:t>.</w:t>
      </w:r>
    </w:p>
    <w:p w14:paraId="0E17ECCE" w14:textId="3AE0DB32" w:rsidR="00764B82" w:rsidRPr="003543F3" w:rsidRDefault="00764B82" w:rsidP="00764B82">
      <w:pPr>
        <w:pStyle w:val="LPLCChecklistlevel2"/>
        <w:ind w:left="794" w:hanging="397"/>
        <w:rPr>
          <w:rFonts w:eastAsia="Times New Roman"/>
        </w:rPr>
      </w:pPr>
      <w:r w:rsidRPr="7C118CC4">
        <w:rPr>
          <w:rFonts w:eastAsia="Times New Roman"/>
          <w:lang w:eastAsia="en-AU"/>
        </w:rPr>
        <w:lastRenderedPageBreak/>
        <w:t>Where a nomination occurs</w:t>
      </w:r>
      <w:r w:rsidR="00E84606" w:rsidRPr="7C118CC4">
        <w:rPr>
          <w:rFonts w:eastAsia="Times New Roman"/>
          <w:lang w:eastAsia="en-AU"/>
        </w:rPr>
        <w:t xml:space="preserve">, </w:t>
      </w:r>
      <w:r w:rsidRPr="7C118CC4">
        <w:rPr>
          <w:rFonts w:eastAsia="Times New Roman"/>
        </w:rPr>
        <w:t xml:space="preserve">ensure that there is written agreement between the nominee and the vendor that </w:t>
      </w:r>
      <w:r w:rsidR="00E84606" w:rsidRPr="7C118CC4">
        <w:rPr>
          <w:rFonts w:eastAsia="Times New Roman"/>
        </w:rPr>
        <w:t xml:space="preserve">the </w:t>
      </w:r>
      <w:r w:rsidRPr="7C118CC4">
        <w:rPr>
          <w:rFonts w:eastAsia="Times New Roman"/>
        </w:rPr>
        <w:t>going concern exemption applies before settlement occurs.</w:t>
      </w:r>
    </w:p>
    <w:p w14:paraId="4DF61A23" w14:textId="01E18B63" w:rsidR="00770C33" w:rsidRPr="00DF3097" w:rsidRDefault="00770C33" w:rsidP="00770C33">
      <w:pPr>
        <w:pStyle w:val="LPLCchecklistlevel1"/>
      </w:pPr>
      <w:r>
        <w:t>Even if you consider the sale will be GST-free under the farmland exemption or as the supply of a going concern, include in the contract a GST-exclusive ‘claw back’ clause, with an expanded definition of GST to include penalties and interest, and a non-merger clause to protect your client. General condition 19 of the standard LIV</w:t>
      </w:r>
      <w:r w:rsidR="00063566">
        <w:t xml:space="preserve"> Contract of Sale of L</w:t>
      </w:r>
      <w:r>
        <w:t xml:space="preserve">and adequately deals with ‘claw-back’. </w:t>
      </w:r>
    </w:p>
    <w:p w14:paraId="75558023" w14:textId="77777777" w:rsidR="00770C33" w:rsidRPr="00DF3097" w:rsidRDefault="00770C33" w:rsidP="00770C33">
      <w:pPr>
        <w:pStyle w:val="LPLCchecklistlevel1"/>
      </w:pPr>
      <w:r>
        <w:t>If a tax invoice is required, ask your client to provide it. Alternatively, check if your client is GST registered, not just ABN registered, before purporting to prepare a tax invoice on your client’s behalf.</w:t>
      </w:r>
    </w:p>
    <w:p w14:paraId="6C21AD3B" w14:textId="77777777" w:rsidR="00770C33" w:rsidRPr="00DF3097" w:rsidRDefault="00770C33" w:rsidP="00770C33">
      <w:pPr>
        <w:pStyle w:val="LPLCchecklistlevel1"/>
      </w:pPr>
      <w:r>
        <w:t>If GST is payable in addition to the purchase price, add it to your checklist to ensure it is collected at settlement.</w:t>
      </w:r>
    </w:p>
    <w:p w14:paraId="62FFADA3"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color w:val="333333"/>
          <w:lang w:eastAsia="en-AU"/>
        </w:rPr>
        <w:t xml:space="preserve">For additional information refer to the </w:t>
      </w:r>
      <w:hyperlink r:id="rId35" w:history="1">
        <w:r>
          <w:rPr>
            <w:rStyle w:val="Hyperlink"/>
            <w:rFonts w:eastAsia="Times New Roman" w:cs="Times New Roman"/>
            <w:sz w:val="22"/>
            <w:lang w:eastAsia="en-AU"/>
          </w:rPr>
          <w:t>LPLC Key Risk Checklist: GST</w:t>
        </w:r>
      </w:hyperlink>
      <w:r>
        <w:rPr>
          <w:rFonts w:eastAsia="Times New Roman" w:cs="Times New Roman"/>
          <w:color w:val="333333"/>
          <w:lang w:eastAsia="en-AU"/>
        </w:rPr>
        <w:t>.</w:t>
      </w:r>
    </w:p>
    <w:p w14:paraId="594D810A" w14:textId="77777777" w:rsidR="00C6722E" w:rsidRDefault="002465F9" w:rsidP="537195A4">
      <w:pPr>
        <w:shd w:val="clear" w:color="auto" w:fill="FFFFFF" w:themeFill="background1"/>
        <w:rPr>
          <w:rFonts w:eastAsia="Times New Roman" w:cs="Times New Roman"/>
          <w:color w:val="333333"/>
          <w:lang w:eastAsia="en-AU"/>
        </w:rPr>
      </w:pPr>
      <w:r w:rsidRPr="537195A4">
        <w:rPr>
          <w:rFonts w:eastAsia="Times New Roman" w:cs="Times New Roman"/>
          <w:b/>
          <w:bCs/>
          <w:color w:val="333333"/>
          <w:lang w:eastAsia="en-AU"/>
        </w:rPr>
        <w:t>Foreign resident capital gains withholding</w:t>
      </w:r>
    </w:p>
    <w:p w14:paraId="0D5C4F80" w14:textId="70A7616F" w:rsidR="00C6722E" w:rsidRDefault="002465F9">
      <w:pPr>
        <w:pStyle w:val="LPLCchecklistlevel1"/>
      </w:pPr>
      <w:r>
        <w:t>On every sale, consider whether foreign resident capital gains withholding applies. Since 1 January 2025 the rate is 15 per cent and the former $750,000 threshold has been removed, so it applies to all taxable Australian real property regardless of price unless the vendor gives the purchaser an ATO clearance certificate at or before settlement.</w:t>
      </w:r>
    </w:p>
    <w:p w14:paraId="2962A670" w14:textId="587FE4C0" w:rsidR="00C6722E" w:rsidRDefault="00BE1C77">
      <w:pPr>
        <w:pStyle w:val="LPLCchecklistlevel1"/>
      </w:pPr>
      <w:r>
        <w:t>If the vendor is not a foreign resident, a</w:t>
      </w:r>
      <w:r w:rsidR="002465F9">
        <w:t>dvise the vendor to apply for a clearance certificate early</w:t>
      </w:r>
      <w:r w:rsidR="6DCE3073">
        <w:t xml:space="preserve"> (</w:t>
      </w:r>
      <w:r w:rsidR="002465F9">
        <w:t xml:space="preserve">and </w:t>
      </w:r>
      <w:r w:rsidR="376D9EA6">
        <w:t xml:space="preserve">where there are multiple vendors </w:t>
      </w:r>
      <w:r w:rsidR="002465F9">
        <w:t xml:space="preserve">each vendor </w:t>
      </w:r>
      <w:r w:rsidR="01BCACFA">
        <w:t>registered on title</w:t>
      </w:r>
      <w:r w:rsidR="002465F9">
        <w:t xml:space="preserve"> </w:t>
      </w:r>
      <w:r w:rsidR="19E0F8B4">
        <w:t>must obtain their own clearance certi</w:t>
      </w:r>
      <w:r w:rsidR="6B61190B">
        <w:t>fi</w:t>
      </w:r>
      <w:r w:rsidR="19E0F8B4">
        <w:t>cate</w:t>
      </w:r>
      <w:r w:rsidR="7C052CFE">
        <w:t>)</w:t>
      </w:r>
      <w:r w:rsidR="002465F9">
        <w:t xml:space="preserve">, and confirm the advice in writing. Without </w:t>
      </w:r>
      <w:r w:rsidR="177211D6">
        <w:t>a clearance certificate</w:t>
      </w:r>
      <w:r w:rsidR="002465F9">
        <w:t xml:space="preserve"> the purchaser must withhold 15 per cent of the </w:t>
      </w:r>
      <w:r w:rsidR="38D84D9B">
        <w:t>contract</w:t>
      </w:r>
      <w:r w:rsidR="002465F9">
        <w:t xml:space="preserve"> price at settlement.</w:t>
      </w:r>
    </w:p>
    <w:p w14:paraId="05B53423"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t>Disbursements</w:t>
      </w:r>
    </w:p>
    <w:p w14:paraId="139DE81A" w14:textId="77777777" w:rsidR="00770C33" w:rsidRPr="00DF3097" w:rsidRDefault="00770C33" w:rsidP="00770C33">
      <w:pPr>
        <w:pStyle w:val="LPLCchecklistlevel1"/>
      </w:pPr>
      <w:r>
        <w:t xml:space="preserve">Revisit the basis on which money is held in the trust account before money is paid out of the trust account. </w:t>
      </w:r>
    </w:p>
    <w:p w14:paraId="2BDDE891" w14:textId="77777777" w:rsidR="00770C33" w:rsidRDefault="00770C33" w:rsidP="00770C33">
      <w:pPr>
        <w:pStyle w:val="LPLCchecklistlevel1"/>
      </w:pPr>
      <w:r>
        <w:t xml:space="preserve">If it was agreed that the money would be placed in a joint interest-bearing account in the </w:t>
      </w:r>
      <w:proofErr w:type="gramStart"/>
      <w:r>
        <w:t>names</w:t>
      </w:r>
      <w:proofErr w:type="gramEnd"/>
      <w:r>
        <w:t xml:space="preserve"> of both parties </w:t>
      </w:r>
      <w:proofErr w:type="gramStart"/>
      <w:r>
        <w:t>or</w:t>
      </w:r>
      <w:proofErr w:type="gramEnd"/>
      <w:r>
        <w:t xml:space="preserve"> paid out to discharge a particular debt:</w:t>
      </w:r>
    </w:p>
    <w:p w14:paraId="7B2FC236" w14:textId="77777777" w:rsidR="00770C33" w:rsidRPr="00DF3097" w:rsidRDefault="00770C33" w:rsidP="00770C33">
      <w:pPr>
        <w:pStyle w:val="LPLCChecklistlevel2"/>
      </w:pPr>
      <w:r>
        <w:t>then that is what must happen regardless of your client’s contrary instructions.</w:t>
      </w:r>
    </w:p>
    <w:p w14:paraId="723A9304" w14:textId="44607C76" w:rsidR="00770C33" w:rsidRPr="00DF3097" w:rsidRDefault="00770C33" w:rsidP="00770C33">
      <w:pPr>
        <w:pStyle w:val="LPLCChecklistlevel2"/>
      </w:pPr>
      <w:r>
        <w:t xml:space="preserve">where the parties cannot agree on how the money is to be paid out and the terms of the trust do not squarely deal with the situation, do not pay it to your client or the party who shouts the loudest. </w:t>
      </w:r>
      <w:hyperlink r:id="rId36">
        <w:r w:rsidRPr="537195A4">
          <w:rPr>
            <w:rStyle w:val="Hyperlink"/>
            <w:rFonts w:cs="Times New Roman"/>
            <w:sz w:val="22"/>
          </w:rPr>
          <w:t>Rule 12</w:t>
        </w:r>
      </w:hyperlink>
      <w:r>
        <w:t xml:space="preserve"> of the </w:t>
      </w:r>
      <w:hyperlink r:id="rId37">
        <w:r w:rsidRPr="537195A4">
          <w:rPr>
            <w:rStyle w:val="Hyperlink"/>
            <w:sz w:val="22"/>
          </w:rPr>
          <w:t>Supreme Court (General Civil Procedure) Rules 20</w:t>
        </w:r>
        <w:r w:rsidRPr="537195A4">
          <w:rPr>
            <w:rStyle w:val="Hyperlink"/>
            <w:rFonts w:cs="Times New Roman"/>
            <w:sz w:val="22"/>
          </w:rPr>
          <w:t>1</w:t>
        </w:r>
        <w:r w:rsidRPr="537195A4">
          <w:rPr>
            <w:rStyle w:val="Hyperlink"/>
            <w:sz w:val="22"/>
          </w:rPr>
          <w:t>5</w:t>
        </w:r>
      </w:hyperlink>
      <w:r>
        <w:t xml:space="preserve"> (Vic) sets out a procedure for a stakeholder’s interpleader. Practitioners are urged to pursue this procedure where it is available.</w:t>
      </w:r>
    </w:p>
    <w:p w14:paraId="4C26F4F7" w14:textId="77777777" w:rsidR="00770C33" w:rsidRDefault="00770C33" w:rsidP="00770C33">
      <w:pPr>
        <w:pStyle w:val="LPLCchecklistlevel1"/>
      </w:pPr>
      <w:r>
        <w:t xml:space="preserve">Keep </w:t>
      </w:r>
      <w:proofErr w:type="gramStart"/>
      <w:r>
        <w:t>a file</w:t>
      </w:r>
      <w:proofErr w:type="gramEnd"/>
      <w:r>
        <w:t xml:space="preserve"> note of the instructions to disburse money and when given verbally, confirm the instructions in writing.</w:t>
      </w:r>
    </w:p>
    <w:p w14:paraId="0D9092F5" w14:textId="77777777" w:rsidR="00770C33" w:rsidRPr="00DF3097" w:rsidRDefault="00770C33" w:rsidP="00770C33">
      <w:pPr>
        <w:pStyle w:val="LPLCchecklistlevel1"/>
      </w:pPr>
      <w:r>
        <w:rPr>
          <w:rFonts w:cs="Times New Roman"/>
          <w:color w:val="333333"/>
        </w:rPr>
        <w:lastRenderedPageBreak/>
        <w:t>Obtain written authority from all vendors before disbursing the balance of settlement monies to one of several vendors.</w:t>
      </w:r>
    </w:p>
    <w:p w14:paraId="7E6271B4" w14:textId="77777777" w:rsidR="00770C33" w:rsidRPr="00DF3097" w:rsidRDefault="00770C33" w:rsidP="00770C33">
      <w:pPr>
        <w:pStyle w:val="LPLCchecklistlevel1"/>
      </w:pPr>
      <w:r>
        <w:t xml:space="preserve">Proactive supervision of employed practitioners and </w:t>
      </w:r>
      <w:proofErr w:type="gramStart"/>
      <w:r>
        <w:t>clerks, and</w:t>
      </w:r>
      <w:proofErr w:type="gramEnd"/>
      <w:r>
        <w:t xml:space="preserve"> properly training them so that they understand why it is important to obtain instructions relating to the disbursement of settlement funds.</w:t>
      </w:r>
    </w:p>
    <w:p w14:paraId="21B10925"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t>Intra-family transfers</w:t>
      </w:r>
    </w:p>
    <w:p w14:paraId="1FB88292" w14:textId="77777777" w:rsidR="00770C33" w:rsidRPr="00DF3097" w:rsidRDefault="00770C33" w:rsidP="00770C33">
      <w:pPr>
        <w:pStyle w:val="LPLCchecklistlevel1"/>
      </w:pPr>
      <w:r>
        <w:t xml:space="preserve">Never act for both parties in intrafamily transfers. Remember a deterrent excess applies where a practitioner acts for more than one party in a matter. See clause 5 of the </w:t>
      </w:r>
      <w:hyperlink r:id="rId38" w:history="1">
        <w:r>
          <w:rPr>
            <w:rStyle w:val="Hyperlink"/>
            <w:rFonts w:cs="Times New Roman"/>
            <w:sz w:val="22"/>
          </w:rPr>
          <w:t>LPLC insurance policy</w:t>
        </w:r>
      </w:hyperlink>
      <w:r>
        <w:t>.</w:t>
      </w:r>
    </w:p>
    <w:p w14:paraId="0475E260" w14:textId="77777777" w:rsidR="00770C33" w:rsidRPr="00DF3097" w:rsidRDefault="00770C33" w:rsidP="00770C33">
      <w:pPr>
        <w:pStyle w:val="LPLCchecklistlevel1"/>
      </w:pPr>
      <w:r>
        <w:t>When the other party is unrepresented, tell them you are not acting for them and recommend the party obtains separate representation and advice. Confirm this in writing.</w:t>
      </w:r>
    </w:p>
    <w:p w14:paraId="397A2D5B" w14:textId="77777777" w:rsidR="00770C33" w:rsidRPr="00DF3097" w:rsidRDefault="00770C33" w:rsidP="00770C33">
      <w:pPr>
        <w:pStyle w:val="LPLCchecklistlevel1"/>
      </w:pPr>
      <w:r>
        <w:t>Warn the transferor client in writing of the dangers in these types of arrangements, particularly that the transferee will have the right to encumber the property.</w:t>
      </w:r>
    </w:p>
    <w:p w14:paraId="1F2AC38B" w14:textId="77777777" w:rsidR="00770C33" w:rsidRPr="00DF3097" w:rsidRDefault="00770C33" w:rsidP="00770C33">
      <w:pPr>
        <w:pStyle w:val="LPLCchecklistlevel1"/>
      </w:pPr>
      <w:r>
        <w:t xml:space="preserve">Find out what the transferor client is trying to achieve by the transaction and consider if there are other ways of achieving the desired result. Advise your client of those options. For example, </w:t>
      </w:r>
      <w:proofErr w:type="gramStart"/>
      <w:r>
        <w:t>a transfer</w:t>
      </w:r>
      <w:proofErr w:type="gramEnd"/>
      <w:r>
        <w:t xml:space="preserve"> and mortgage back to the transferor may be appropriate in some circumstances.</w:t>
      </w:r>
    </w:p>
    <w:p w14:paraId="469C69E9" w14:textId="77777777" w:rsidR="00770C33" w:rsidRPr="008C454E" w:rsidRDefault="00770C33" w:rsidP="00770C33">
      <w:pPr>
        <w:pStyle w:val="LPLCchecklistlevel1"/>
      </w:pPr>
      <w:r>
        <w:t xml:space="preserve">Warn the transferor to seek advice from an accountant about possible CGT liability if the property is not the longstanding residence of the transferor. </w:t>
      </w:r>
    </w:p>
    <w:p w14:paraId="7997F53E" w14:textId="21941FB8" w:rsidR="00B23D71" w:rsidRDefault="00770C33" w:rsidP="00B23D71">
      <w:pPr>
        <w:pStyle w:val="LPLCchecklistlevel1"/>
        <w:rPr>
          <w:rFonts w:cs="Times New Roman"/>
          <w:b/>
          <w:bCs/>
          <w:color w:val="333333"/>
        </w:rPr>
      </w:pPr>
      <w:r>
        <w:t xml:space="preserve">Also see further information on Senior Rights Victoria’s website and in particular their </w:t>
      </w:r>
      <w:r w:rsidR="00D44B02">
        <w:t xml:space="preserve">webpage, </w:t>
      </w:r>
      <w:hyperlink r:id="rId39" w:history="1">
        <w:r w:rsidR="00D44B02" w:rsidRPr="00B23D71">
          <w:rPr>
            <w:rStyle w:val="Hyperlink"/>
            <w:sz w:val="22"/>
          </w:rPr>
          <w:t>‘Care for your a</w:t>
        </w:r>
        <w:r w:rsidR="00B23D71" w:rsidRPr="00B23D71">
          <w:rPr>
            <w:rStyle w:val="Hyperlink"/>
            <w:sz w:val="22"/>
          </w:rPr>
          <w:t>ssets’</w:t>
        </w:r>
      </w:hyperlink>
      <w:r w:rsidR="00B23D71">
        <w:t>.</w:t>
      </w:r>
      <w:r>
        <w:t xml:space="preserve"> </w:t>
      </w:r>
    </w:p>
    <w:p w14:paraId="55A8576A" w14:textId="65E782F9"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t>Rescission</w:t>
      </w:r>
    </w:p>
    <w:p w14:paraId="362E5C25" w14:textId="2921C1F9" w:rsidR="00770C33" w:rsidRPr="00DF3097" w:rsidRDefault="00770C33" w:rsidP="00770C33">
      <w:pPr>
        <w:pStyle w:val="LPLCchecklistlevel1"/>
      </w:pPr>
      <w:r>
        <w:t xml:space="preserve">See separate checklist for </w:t>
      </w:r>
      <w:hyperlink r:id="rId40" w:history="1">
        <w:r>
          <w:rPr>
            <w:rStyle w:val="Hyperlink"/>
            <w:sz w:val="22"/>
          </w:rPr>
          <w:t>advising a vendor when the purchaser defaults</w:t>
        </w:r>
      </w:hyperlink>
      <w:r>
        <w:t xml:space="preserve"> </w:t>
      </w:r>
    </w:p>
    <w:p w14:paraId="2B91BABB"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t>Terms contracts</w:t>
      </w:r>
    </w:p>
    <w:p w14:paraId="10B54FC2" w14:textId="77777777" w:rsidR="00770C33" w:rsidRDefault="00770C33" w:rsidP="00770C33">
      <w:pPr>
        <w:pStyle w:val="LPLCchecklistlevel1"/>
      </w:pPr>
      <w:r>
        <w:t>Always check the SLA to determine the current requirements relating to terms contracts and consider whether a terms contract will be created.</w:t>
      </w:r>
    </w:p>
    <w:p w14:paraId="16C18551" w14:textId="77777777" w:rsidR="00770C33" w:rsidRDefault="00770C33" w:rsidP="00770C33">
      <w:pPr>
        <w:pStyle w:val="LPLCchecklistlevel1"/>
      </w:pPr>
      <w:proofErr w:type="gramStart"/>
      <w:r>
        <w:t>Currently it</w:t>
      </w:r>
      <w:proofErr w:type="gramEnd"/>
      <w:r>
        <w:t xml:space="preserve"> a terms contract is created where:</w:t>
      </w:r>
    </w:p>
    <w:p w14:paraId="192444FA" w14:textId="77777777" w:rsidR="00770C33" w:rsidRDefault="00770C33" w:rsidP="00770C33">
      <w:pPr>
        <w:pStyle w:val="LPLCChecklistlevel2"/>
      </w:pPr>
      <w:r>
        <w:t xml:space="preserve"> there are multiple payments and/or </w:t>
      </w:r>
    </w:p>
    <w:p w14:paraId="2FBEE9D3" w14:textId="039078A3" w:rsidR="00770C33" w:rsidRPr="00770C33" w:rsidRDefault="00770C33" w:rsidP="00770C33">
      <w:pPr>
        <w:pStyle w:val="LPLCChecklistlevel2"/>
        <w:rPr>
          <w:rStyle w:val="Hyperlink"/>
          <w:color w:val="000000" w:themeColor="text1"/>
          <w:sz w:val="22"/>
          <w:u w:val="none"/>
        </w:rPr>
      </w:pPr>
      <w:r>
        <w:t xml:space="preserve">where possession or the right to receipt of rents and profits is given </w:t>
      </w:r>
      <w:r>
        <w:rPr>
          <w:rFonts w:asciiTheme="minorHAnsi" w:hAnsiTheme="minorHAnsi"/>
        </w:rPr>
        <w:t xml:space="preserve">before the </w:t>
      </w:r>
      <w:hyperlink r:id="rId41" w:anchor="purchaser" w:history="1">
        <w:r>
          <w:rPr>
            <w:rStyle w:val="Hyperlink"/>
            <w:rFonts w:asciiTheme="minorHAnsi" w:hAnsiTheme="minorHAnsi"/>
            <w:color w:val="000000" w:themeColor="text1"/>
            <w:sz w:val="22"/>
            <w:u w:val="none"/>
          </w:rPr>
          <w:t>purchaser</w:t>
        </w:r>
      </w:hyperlink>
      <w:r>
        <w:rPr>
          <w:rFonts w:asciiTheme="minorHAnsi" w:hAnsiTheme="minorHAnsi"/>
        </w:rPr>
        <w:t xml:space="preserve"> becomes entitled to a conveyance or transfer of the </w:t>
      </w:r>
      <w:hyperlink r:id="rId42" w:anchor="land" w:history="1">
        <w:r>
          <w:rPr>
            <w:rStyle w:val="Hyperlink"/>
            <w:rFonts w:asciiTheme="minorHAnsi" w:hAnsiTheme="minorHAnsi"/>
            <w:color w:val="000000" w:themeColor="text1"/>
            <w:sz w:val="22"/>
            <w:u w:val="none"/>
          </w:rPr>
          <w:t>land</w:t>
        </w:r>
      </w:hyperlink>
      <w:r>
        <w:rPr>
          <w:rStyle w:val="Hyperlink"/>
          <w:rFonts w:asciiTheme="minorHAnsi" w:hAnsiTheme="minorHAnsi"/>
          <w:color w:val="000000" w:themeColor="text1"/>
          <w:sz w:val="22"/>
          <w:u w:val="none"/>
        </w:rPr>
        <w:t xml:space="preserve">. </w:t>
      </w:r>
    </w:p>
    <w:p w14:paraId="4A1D09C9" w14:textId="2F2C334B" w:rsidR="00770C33" w:rsidRPr="00DF3097" w:rsidRDefault="00770C33" w:rsidP="00770C33">
      <w:pPr>
        <w:pStyle w:val="LPLCchecklistlevel1"/>
      </w:pPr>
      <w:r>
        <w:rPr>
          <w:rStyle w:val="Hyperlink"/>
          <w:rFonts w:asciiTheme="minorHAnsi" w:hAnsiTheme="minorHAnsi"/>
          <w:color w:val="000000" w:themeColor="text1"/>
          <w:sz w:val="22"/>
          <w:u w:val="none"/>
        </w:rPr>
        <w:t xml:space="preserve">If the contract is a terms contract </w:t>
      </w:r>
      <w:r>
        <w:t xml:space="preserve">obtain instructions as to whether this is what the client intends and advise the client in writing of their options and the consequences of </w:t>
      </w:r>
      <w:proofErr w:type="gramStart"/>
      <w:r>
        <w:t>entering into</w:t>
      </w:r>
      <w:proofErr w:type="gramEnd"/>
      <w:r>
        <w:t xml:space="preserve"> a terms contract.</w:t>
      </w:r>
    </w:p>
    <w:p w14:paraId="570D3E75" w14:textId="77777777" w:rsidR="00770C33" w:rsidRPr="00DF3097" w:rsidRDefault="00770C33" w:rsidP="00770C33">
      <w:pPr>
        <w:pStyle w:val="LPLCchecklistlevel1"/>
      </w:pPr>
      <w:r>
        <w:t xml:space="preserve">As </w:t>
      </w:r>
      <w:proofErr w:type="gramStart"/>
      <w:r>
        <w:t>entering into</w:t>
      </w:r>
      <w:proofErr w:type="gramEnd"/>
      <w:r>
        <w:t xml:space="preserve"> </w:t>
      </w:r>
      <w:proofErr w:type="gramStart"/>
      <w:r>
        <w:t>a terms</w:t>
      </w:r>
      <w:proofErr w:type="gramEnd"/>
      <w:r>
        <w:t xml:space="preserve"> contract may involve a client making financial decisions, consider the need to refer the client to their accountant and/or financial advisor.</w:t>
      </w:r>
    </w:p>
    <w:p w14:paraId="3221F18F" w14:textId="77777777" w:rsidR="00770C33" w:rsidRPr="007E2297" w:rsidRDefault="00770C33" w:rsidP="00770C33">
      <w:pPr>
        <w:pStyle w:val="LPLCchecklistlevel1"/>
        <w:rPr>
          <w:rFonts w:cs="Arial"/>
        </w:rPr>
      </w:pPr>
      <w:r>
        <w:t xml:space="preserve">Advise your vendor client of the risks of </w:t>
      </w:r>
      <w:proofErr w:type="gramStart"/>
      <w:r>
        <w:t>entering into</w:t>
      </w:r>
      <w:proofErr w:type="gramEnd"/>
      <w:r>
        <w:t xml:space="preserve"> a terms contract, especially where payments are made over </w:t>
      </w:r>
      <w:proofErr w:type="gramStart"/>
      <w:r>
        <w:t>a number of</w:t>
      </w:r>
      <w:proofErr w:type="gramEnd"/>
      <w:r>
        <w:t xml:space="preserve"> years.</w:t>
      </w:r>
    </w:p>
    <w:p w14:paraId="5B3CD9BB" w14:textId="77777777" w:rsidR="00770C33" w:rsidRPr="00DF3097" w:rsidRDefault="00770C33" w:rsidP="00770C33">
      <w:pPr>
        <w:shd w:val="clear" w:color="auto" w:fill="FFFFFF"/>
        <w:rPr>
          <w:rFonts w:eastAsia="Times New Roman" w:cs="Times New Roman"/>
          <w:color w:val="333333"/>
          <w:lang w:eastAsia="en-AU"/>
        </w:rPr>
      </w:pPr>
      <w:r>
        <w:rPr>
          <w:rFonts w:eastAsia="Times New Roman" w:cs="Times New Roman"/>
          <w:b/>
          <w:bCs/>
          <w:color w:val="333333"/>
          <w:lang w:eastAsia="en-AU"/>
        </w:rPr>
        <w:lastRenderedPageBreak/>
        <w:t>Other</w:t>
      </w:r>
    </w:p>
    <w:p w14:paraId="4879D285" w14:textId="77777777" w:rsidR="00770C33" w:rsidRPr="00DF3097" w:rsidRDefault="00770C33" w:rsidP="00770C33">
      <w:pPr>
        <w:pStyle w:val="LPLCchecklistlevel1"/>
      </w:pPr>
      <w:r>
        <w:t>Check your file for original documents before closing.</w:t>
      </w:r>
    </w:p>
    <w:p w14:paraId="74130D46" w14:textId="77777777" w:rsidR="001C35EA" w:rsidRDefault="001C35EA" w:rsidP="00302F31">
      <w:pPr>
        <w:pStyle w:val="Style1"/>
        <w:rPr>
          <w:lang w:val="en-US"/>
        </w:rPr>
      </w:pPr>
    </w:p>
    <w:p w14:paraId="19F1215B" w14:textId="77777777" w:rsidR="001C35EA" w:rsidRDefault="001C35EA" w:rsidP="005E1221">
      <w:pPr>
        <w:spacing w:line="240" w:lineRule="auto"/>
        <w:rPr>
          <w:lang w:val="en-US"/>
        </w:rPr>
      </w:pPr>
    </w:p>
    <w:sectPr w:rsidR="001C35EA" w:rsidSect="005E1221">
      <w:footerReference w:type="default" r:id="rId43"/>
      <w:headerReference w:type="first" r:id="rId44"/>
      <w:footerReference w:type="first" r:id="rId45"/>
      <w:pgSz w:w="11900" w:h="16840"/>
      <w:pgMar w:top="1418" w:right="1410" w:bottom="851" w:left="1701" w:header="1418" w:footer="43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5A44" w14:textId="77777777" w:rsidR="006D6B5B" w:rsidRDefault="006D6B5B" w:rsidP="003D5CBE">
      <w:pPr>
        <w:spacing w:after="0"/>
      </w:pPr>
      <w:r>
        <w:separator/>
      </w:r>
    </w:p>
  </w:endnote>
  <w:endnote w:type="continuationSeparator" w:id="0">
    <w:p w14:paraId="4FE576D3" w14:textId="77777777" w:rsidR="006D6B5B" w:rsidRDefault="006D6B5B" w:rsidP="003D5C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ourier New"/>
    <w:panose1 w:val="00000000000000000000"/>
    <w:charset w:val="00"/>
    <w:family w:val="roman"/>
    <w:notTrueType/>
    <w:pitch w:val="default"/>
  </w:font>
  <w:font w:name="Century Gothic">
    <w:altName w:val="Century Gothic"/>
    <w:panose1 w:val="020B0502020202020204"/>
    <w:charset w:val="00"/>
    <w:family w:val="swiss"/>
    <w:pitch w:val="variable"/>
    <w:sig w:usb0="00000287" w:usb1="00000000" w:usb2="00000000" w:usb3="00000000" w:csb0="0000009F" w:csb1="00000000"/>
  </w:font>
  <w:font w:name="Gotham Medium">
    <w:altName w:val="Courier New"/>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10001BF" w:csb1="00000000"/>
  </w:font>
  <w:font w:name="Gotham-Book">
    <w:altName w:val="Cambria"/>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1458" w14:textId="77777777" w:rsidR="00C06E4D" w:rsidRPr="00494409" w:rsidRDefault="00494409" w:rsidP="00494409">
    <w:pPr>
      <w:pStyle w:val="LPLCFooter"/>
      <w:tabs>
        <w:tab w:val="left" w:pos="7513"/>
      </w:tabs>
      <w:ind w:right="-8"/>
    </w:pPr>
    <w:r w:rsidRPr="00494409">
      <w:rPr>
        <w:noProof/>
        <w:lang w:val="en-AU" w:eastAsia="en-AU"/>
      </w:rPr>
      <mc:AlternateContent>
        <mc:Choice Requires="wps">
          <w:drawing>
            <wp:anchor distT="4294967294" distB="4294967294" distL="114300" distR="114300" simplePos="0" relativeHeight="251658242" behindDoc="0" locked="0" layoutInCell="1" allowOverlap="1" wp14:anchorId="4FE74463" wp14:editId="76375FC1">
              <wp:simplePos x="0" y="0"/>
              <wp:positionH relativeFrom="margin">
                <wp:posOffset>-5080</wp:posOffset>
              </wp:positionH>
              <wp:positionV relativeFrom="page">
                <wp:posOffset>10211435</wp:posOffset>
              </wp:positionV>
              <wp:extent cx="5579745" cy="0"/>
              <wp:effectExtent l="0" t="0" r="2095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9745" cy="0"/>
                      </a:xfrm>
                      <a:prstGeom prst="line">
                        <a:avLst/>
                      </a:prstGeom>
                      <a:ln w="12700">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BA147D3" id="Straight Connector 9" o:spid="_x0000_s1026" style="position:absolute;z-index:25165824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page;mso-width-percent:0;mso-height-percent:0;mso-width-relative:margin;mso-height-relative:page" from="-.4pt,804.05pt" to="438.95pt,8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" strokecolor="#00b4cd [3215]" strokeweight="1pt">
              <o:lock v:ext="edit" shapetype="f"/>
              <w10:wrap anchorx="margin" anchory="page"/>
            </v:line>
          </w:pict>
        </mc:Fallback>
      </mc:AlternateContent>
    </w:r>
    <w:r w:rsidRPr="00494409">
      <w:t>{document id}</w:t>
    </w:r>
    <w:r w:rsidRPr="00494409">
      <w:tab/>
      <w:t xml:space="preserve">Page </w:t>
    </w:r>
    <w:r w:rsidRPr="00494409">
      <w:fldChar w:fldCharType="begin"/>
    </w:r>
    <w:r w:rsidRPr="00494409">
      <w:instrText xml:space="preserve"> PAGE  \* Arabic  \* MERGEFORMAT </w:instrText>
    </w:r>
    <w:r w:rsidRPr="00494409">
      <w:fldChar w:fldCharType="separate"/>
    </w:r>
    <w:r w:rsidR="00D14EA9">
      <w:rPr>
        <w:noProof/>
      </w:rPr>
      <w:t>2</w:t>
    </w:r>
    <w:r w:rsidRPr="00494409">
      <w:rPr>
        <w:noProof/>
      </w:rPr>
      <w:fldChar w:fldCharType="end"/>
    </w:r>
    <w:r w:rsidRPr="00494409">
      <w:t xml:space="preserve"> of </w:t>
    </w:r>
    <w:fldSimple w:instr="NUMPAGES  \* Arabic  \* MERGEFORMAT">
      <w:r w:rsidR="00D14EA9">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12376" w14:textId="77777777" w:rsidR="00C06E4D" w:rsidRPr="00632CF8" w:rsidRDefault="00494409" w:rsidP="00494409">
    <w:pPr>
      <w:pStyle w:val="LPLCFooter"/>
      <w:tabs>
        <w:tab w:val="left" w:pos="7513"/>
      </w:tabs>
      <w:ind w:right="-8"/>
    </w:pPr>
    <w:r w:rsidRPr="00632CF8">
      <w:rPr>
        <w:noProof/>
        <w:lang w:val="en-AU" w:eastAsia="en-AU"/>
      </w:rPr>
      <mc:AlternateContent>
        <mc:Choice Requires="wps">
          <w:drawing>
            <wp:anchor distT="4294967294" distB="4294967294" distL="114300" distR="114300" simplePos="0" relativeHeight="251658241" behindDoc="0" locked="0" layoutInCell="1" allowOverlap="1" wp14:anchorId="23EC33AD" wp14:editId="37873DF4">
              <wp:simplePos x="0" y="0"/>
              <wp:positionH relativeFrom="margin">
                <wp:posOffset>-5080</wp:posOffset>
              </wp:positionH>
              <wp:positionV relativeFrom="page">
                <wp:posOffset>10211435</wp:posOffset>
              </wp:positionV>
              <wp:extent cx="5579745" cy="0"/>
              <wp:effectExtent l="0" t="0" r="20955" b="19050"/>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9745" cy="0"/>
                      </a:xfrm>
                      <a:prstGeom prst="line">
                        <a:avLst/>
                      </a:prstGeom>
                      <a:ln w="12700">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A4BA408" id="Straight Connector 9" o:spid="_x0000_s1026" style="position:absolute;z-index:251658241;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page;mso-width-percent:0;mso-height-percent:0;mso-width-relative:margin;mso-height-relative:page" from="-.4pt,804.05pt" to="438.95pt,8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" strokecolor="#00b4cd [3215]" strokeweight="1pt">
              <o:lock v:ext="edit" shapetype="f"/>
              <w10:wrap anchorx="margin" anchory="page"/>
            </v:line>
          </w:pict>
        </mc:Fallback>
      </mc:AlternateContent>
    </w:r>
    <w:r w:rsidRPr="00632CF8">
      <w:t>{document id}</w:t>
    </w:r>
    <w:r w:rsidR="00C06E4D" w:rsidRPr="00632CF8">
      <w:tab/>
    </w:r>
    <w:r w:rsidR="00626DC4" w:rsidRPr="00632CF8">
      <w:t xml:space="preserve">Page </w:t>
    </w:r>
    <w:r w:rsidR="00C155D4" w:rsidRPr="00632CF8">
      <w:fldChar w:fldCharType="begin"/>
    </w:r>
    <w:r w:rsidR="00C155D4" w:rsidRPr="00632CF8">
      <w:instrText xml:space="preserve"> PAGE  \* Arabic  \* MERGEFORMAT </w:instrText>
    </w:r>
    <w:r w:rsidR="00C155D4" w:rsidRPr="00632CF8">
      <w:fldChar w:fldCharType="separate"/>
    </w:r>
    <w:r w:rsidR="00E16113">
      <w:rPr>
        <w:noProof/>
      </w:rPr>
      <w:t>1</w:t>
    </w:r>
    <w:r w:rsidR="00C155D4" w:rsidRPr="00632CF8">
      <w:rPr>
        <w:noProof/>
      </w:rPr>
      <w:fldChar w:fldCharType="end"/>
    </w:r>
    <w:r w:rsidR="00626DC4" w:rsidRPr="00632CF8">
      <w:t xml:space="preserve"> of </w:t>
    </w:r>
    <w:fldSimple w:instr="NUMPAGES  \* Arabic  \* MERGEFORMAT">
      <w:r w:rsidR="00E16113">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8EE2" w14:textId="77777777" w:rsidR="006D6B5B" w:rsidRDefault="006D6B5B" w:rsidP="003D5CBE">
      <w:pPr>
        <w:spacing w:after="0"/>
      </w:pPr>
      <w:r>
        <w:separator/>
      </w:r>
    </w:p>
  </w:footnote>
  <w:footnote w:type="continuationSeparator" w:id="0">
    <w:p w14:paraId="2C93063A" w14:textId="77777777" w:rsidR="006D6B5B" w:rsidRDefault="006D6B5B" w:rsidP="003D5C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77068" w14:textId="77777777" w:rsidR="00C06E4D" w:rsidRPr="00632CF8" w:rsidRDefault="00C06E4D" w:rsidP="00DA2435">
    <w:pPr>
      <w:pStyle w:val="LPLCHeader"/>
    </w:pPr>
    <w:r w:rsidRPr="00632CF8">
      <w:rPr>
        <w:lang w:val="en-AU" w:eastAsia="en-AU"/>
      </w:rPr>
      <w:drawing>
        <wp:anchor distT="0" distB="0" distL="114300" distR="114300" simplePos="0" relativeHeight="251658240" behindDoc="1" locked="0" layoutInCell="1" allowOverlap="1" wp14:anchorId="45616E7E" wp14:editId="45D8A985">
          <wp:simplePos x="0" y="0"/>
          <wp:positionH relativeFrom="margin">
            <wp:posOffset>3528695</wp:posOffset>
          </wp:positionH>
          <wp:positionV relativeFrom="page">
            <wp:posOffset>485140</wp:posOffset>
          </wp:positionV>
          <wp:extent cx="2043430" cy="600075"/>
          <wp:effectExtent l="0" t="0" r="0" b="9525"/>
          <wp:wrapTight wrapText="bothSides">
            <wp:wrapPolygon edited="0">
              <wp:start x="0" y="0"/>
              <wp:lineTo x="0" y="21257"/>
              <wp:lineTo x="21345" y="21257"/>
              <wp:lineTo x="2134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LC+name_masterOL_Col632.png"/>
                  <pic:cNvPicPr/>
                </pic:nvPicPr>
                <pic:blipFill>
                  <a:blip r:embed="rId1"/>
                  <a:stretch>
                    <a:fillRect/>
                  </a:stretch>
                </pic:blipFill>
                <pic:spPr>
                  <a:xfrm>
                    <a:off x="0" y="0"/>
                    <a:ext cx="2043430" cy="600075"/>
                  </a:xfrm>
                  <a:prstGeom prst="rect">
                    <a:avLst/>
                  </a:prstGeom>
                </pic:spPr>
              </pic:pic>
            </a:graphicData>
          </a:graphic>
          <wp14:sizeRelH relativeFrom="margin">
            <wp14:pctWidth>0</wp14:pctWidth>
          </wp14:sizeRelH>
          <wp14:sizeRelV relativeFrom="margin">
            <wp14:pctHeight>0</wp14:pctHeight>
          </wp14:sizeRelV>
        </wp:anchor>
      </w:drawing>
    </w:r>
    <w:r w:rsidR="00557E5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CCB6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1F8C62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D927CF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38AEBF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0CE221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B4E4D2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E2CDCA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100BE5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3A4FA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BC2BB2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488C4B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B4116A"/>
    <w:multiLevelType w:val="hybridMultilevel"/>
    <w:tmpl w:val="F0F81D42"/>
    <w:lvl w:ilvl="0" w:tplc="E17E48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6A61F8"/>
    <w:multiLevelType w:val="hybridMultilevel"/>
    <w:tmpl w:val="8B98B430"/>
    <w:lvl w:ilvl="0" w:tplc="93FCA8B2">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215194"/>
    <w:multiLevelType w:val="multilevel"/>
    <w:tmpl w:val="1D3A8842"/>
    <w:styleLink w:val="List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DB262D9"/>
    <w:multiLevelType w:val="hybridMultilevel"/>
    <w:tmpl w:val="E40AD7BE"/>
    <w:lvl w:ilvl="0" w:tplc="092C20DE">
      <w:start w:val="1"/>
      <w:numFmt w:val="bullet"/>
      <w:pStyle w:val="LPLCChecklistlevel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B62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FDF3C95"/>
    <w:multiLevelType w:val="hybridMultilevel"/>
    <w:tmpl w:val="E758C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F70D71"/>
    <w:multiLevelType w:val="multilevel"/>
    <w:tmpl w:val="00B21A48"/>
    <w:numStyleLink w:val="LPLC"/>
  </w:abstractNum>
  <w:abstractNum w:abstractNumId="18" w15:restartNumberingAfterBreak="0">
    <w:nsid w:val="369E013F"/>
    <w:multiLevelType w:val="multilevel"/>
    <w:tmpl w:val="B8A0781E"/>
    <w:lvl w:ilvl="0">
      <w:start w:val="1"/>
      <w:numFmt w:val="decimal"/>
      <w:lvlText w:val="%1."/>
      <w:lvlJc w:val="left"/>
      <w:pPr>
        <w:ind w:left="567" w:hanging="567"/>
      </w:pPr>
      <w:rPr>
        <w:rFonts w:ascii="Gotham Book" w:hAnsi="Gotham Book" w:hint="default"/>
        <w:b w:val="0"/>
        <w:i w:val="0"/>
        <w:sz w:val="20"/>
      </w:rPr>
    </w:lvl>
    <w:lvl w:ilvl="1">
      <w:start w:val="1"/>
      <w:numFmt w:val="decimal"/>
      <w:lvlText w:val="%1.%2"/>
      <w:lvlJc w:val="left"/>
      <w:pPr>
        <w:ind w:left="567" w:firstLine="0"/>
      </w:pPr>
      <w:rPr>
        <w:rFonts w:ascii="Gotham Book" w:hAnsi="Gotham Book"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103C4A"/>
    <w:multiLevelType w:val="multilevel"/>
    <w:tmpl w:val="B88EBF9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BA384B"/>
    <w:multiLevelType w:val="multilevel"/>
    <w:tmpl w:val="C94AD4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920882"/>
    <w:multiLevelType w:val="hybridMultilevel"/>
    <w:tmpl w:val="6242F6EE"/>
    <w:lvl w:ilvl="0" w:tplc="DC74ECFE">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2D1762"/>
    <w:multiLevelType w:val="hybridMultilevel"/>
    <w:tmpl w:val="6BE489CC"/>
    <w:lvl w:ilvl="0" w:tplc="1E98EFD0">
      <w:start w:val="1"/>
      <w:numFmt w:val="decimal"/>
      <w:lvlText w:val="%1."/>
      <w:lvlJc w:val="left"/>
      <w:pPr>
        <w:ind w:left="720" w:hanging="360"/>
      </w:pPr>
      <w:rPr>
        <w:rFonts w:ascii="Century Gothic" w:hAnsi="Century Gothic"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B25F7C"/>
    <w:multiLevelType w:val="multilevel"/>
    <w:tmpl w:val="C512D612"/>
    <w:lvl w:ilvl="0">
      <w:start w:val="1"/>
      <w:numFmt w:val="decimal"/>
      <w:lvlText w:val="%1."/>
      <w:lvlJc w:val="left"/>
      <w:pPr>
        <w:tabs>
          <w:tab w:val="num" w:pos="454"/>
        </w:tabs>
        <w:ind w:left="454" w:hanging="454"/>
      </w:pPr>
      <w:rPr>
        <w:rFonts w:hint="default"/>
        <w:b w:val="0"/>
        <w:i w:val="0"/>
        <w:sz w:val="20"/>
      </w:rPr>
    </w:lvl>
    <w:lvl w:ilvl="1">
      <w:start w:val="1"/>
      <w:numFmt w:val="lowerRoman"/>
      <w:lvlText w:val="(%2)"/>
      <w:lvlJc w:val="left"/>
      <w:pPr>
        <w:tabs>
          <w:tab w:val="num" w:pos="907"/>
        </w:tabs>
        <w:ind w:left="907" w:hanging="453"/>
      </w:pPr>
      <w:rPr>
        <w:rFonts w:hint="default"/>
        <w:b w:val="0"/>
        <w:bCs w:val="0"/>
        <w:i w:val="0"/>
        <w:iCs w:val="0"/>
        <w:sz w:val="20"/>
        <w:szCs w:val="20"/>
      </w:rPr>
    </w:lvl>
    <w:lvl w:ilvl="2">
      <w:start w:val="1"/>
      <w:numFmt w:val="bullet"/>
      <w:lvlText w:val=""/>
      <w:lvlJc w:val="left"/>
      <w:pPr>
        <w:tabs>
          <w:tab w:val="num" w:pos="1361"/>
        </w:tabs>
        <w:ind w:left="1361" w:hanging="454"/>
      </w:pPr>
      <w:rPr>
        <w:rFonts w:ascii="Symbol" w:hAnsi="Symbol" w:hint="default"/>
        <w:b w:val="0"/>
        <w:i w:val="0"/>
        <w:sz w:val="20"/>
      </w:rPr>
    </w:lvl>
    <w:lvl w:ilvl="3">
      <w:start w:val="1"/>
      <w:numFmt w:val="decimal"/>
      <w:lvlText w:val="%4."/>
      <w:lvlJc w:val="left"/>
      <w:pPr>
        <w:ind w:left="4867" w:hanging="360"/>
      </w:pPr>
      <w:rPr>
        <w:rFonts w:hint="default"/>
      </w:rPr>
    </w:lvl>
    <w:lvl w:ilvl="4">
      <w:start w:val="1"/>
      <w:numFmt w:val="lowerLetter"/>
      <w:lvlText w:val="%5."/>
      <w:lvlJc w:val="left"/>
      <w:pPr>
        <w:ind w:left="5587" w:hanging="360"/>
      </w:pPr>
      <w:rPr>
        <w:rFonts w:hint="default"/>
      </w:rPr>
    </w:lvl>
    <w:lvl w:ilvl="5">
      <w:start w:val="1"/>
      <w:numFmt w:val="lowerRoman"/>
      <w:lvlText w:val="%6."/>
      <w:lvlJc w:val="right"/>
      <w:pPr>
        <w:ind w:left="6307" w:hanging="180"/>
      </w:pPr>
      <w:rPr>
        <w:rFonts w:hint="default"/>
      </w:rPr>
    </w:lvl>
    <w:lvl w:ilvl="6">
      <w:start w:val="1"/>
      <w:numFmt w:val="decimal"/>
      <w:lvlText w:val="%7."/>
      <w:lvlJc w:val="left"/>
      <w:pPr>
        <w:ind w:left="7027" w:hanging="360"/>
      </w:pPr>
      <w:rPr>
        <w:rFonts w:hint="default"/>
      </w:rPr>
    </w:lvl>
    <w:lvl w:ilvl="7">
      <w:start w:val="1"/>
      <w:numFmt w:val="lowerLetter"/>
      <w:lvlText w:val="%8."/>
      <w:lvlJc w:val="left"/>
      <w:pPr>
        <w:ind w:left="7747" w:hanging="360"/>
      </w:pPr>
      <w:rPr>
        <w:rFonts w:hint="default"/>
      </w:rPr>
    </w:lvl>
    <w:lvl w:ilvl="8">
      <w:start w:val="1"/>
      <w:numFmt w:val="lowerRoman"/>
      <w:lvlText w:val="%9."/>
      <w:lvlJc w:val="right"/>
      <w:pPr>
        <w:ind w:left="8467" w:hanging="180"/>
      </w:pPr>
      <w:rPr>
        <w:rFonts w:hint="default"/>
      </w:rPr>
    </w:lvl>
  </w:abstractNum>
  <w:abstractNum w:abstractNumId="24" w15:restartNumberingAfterBreak="0">
    <w:nsid w:val="591301D7"/>
    <w:multiLevelType w:val="multilevel"/>
    <w:tmpl w:val="C512D612"/>
    <w:lvl w:ilvl="0">
      <w:start w:val="1"/>
      <w:numFmt w:val="decimal"/>
      <w:lvlText w:val="%1."/>
      <w:lvlJc w:val="left"/>
      <w:pPr>
        <w:tabs>
          <w:tab w:val="num" w:pos="454"/>
        </w:tabs>
        <w:ind w:left="454" w:hanging="454"/>
      </w:pPr>
      <w:rPr>
        <w:rFonts w:hint="default"/>
        <w:b w:val="0"/>
        <w:i w:val="0"/>
        <w:sz w:val="20"/>
      </w:rPr>
    </w:lvl>
    <w:lvl w:ilvl="1">
      <w:start w:val="1"/>
      <w:numFmt w:val="lowerRoman"/>
      <w:lvlText w:val="(%2)"/>
      <w:lvlJc w:val="left"/>
      <w:pPr>
        <w:tabs>
          <w:tab w:val="num" w:pos="907"/>
        </w:tabs>
        <w:ind w:left="907" w:hanging="453"/>
      </w:pPr>
      <w:rPr>
        <w:rFonts w:hint="default"/>
        <w:b w:val="0"/>
        <w:bCs w:val="0"/>
        <w:i w:val="0"/>
        <w:iCs w:val="0"/>
        <w:sz w:val="20"/>
        <w:szCs w:val="20"/>
      </w:rPr>
    </w:lvl>
    <w:lvl w:ilvl="2">
      <w:start w:val="1"/>
      <w:numFmt w:val="bullet"/>
      <w:lvlText w:val=""/>
      <w:lvlJc w:val="left"/>
      <w:pPr>
        <w:tabs>
          <w:tab w:val="num" w:pos="1361"/>
        </w:tabs>
        <w:ind w:left="1361" w:hanging="454"/>
      </w:pPr>
      <w:rPr>
        <w:rFonts w:ascii="Symbol" w:hAnsi="Symbol" w:hint="default"/>
        <w:b w:val="0"/>
        <w:i w:val="0"/>
        <w:sz w:val="20"/>
      </w:rPr>
    </w:lvl>
    <w:lvl w:ilvl="3">
      <w:start w:val="1"/>
      <w:numFmt w:val="decimal"/>
      <w:lvlText w:val="%4."/>
      <w:lvlJc w:val="left"/>
      <w:pPr>
        <w:ind w:left="4867" w:hanging="360"/>
      </w:pPr>
      <w:rPr>
        <w:rFonts w:hint="default"/>
      </w:rPr>
    </w:lvl>
    <w:lvl w:ilvl="4">
      <w:start w:val="1"/>
      <w:numFmt w:val="lowerLetter"/>
      <w:lvlText w:val="%5."/>
      <w:lvlJc w:val="left"/>
      <w:pPr>
        <w:ind w:left="5587" w:hanging="360"/>
      </w:pPr>
      <w:rPr>
        <w:rFonts w:hint="default"/>
      </w:rPr>
    </w:lvl>
    <w:lvl w:ilvl="5">
      <w:start w:val="1"/>
      <w:numFmt w:val="lowerRoman"/>
      <w:lvlText w:val="%6."/>
      <w:lvlJc w:val="right"/>
      <w:pPr>
        <w:ind w:left="6307" w:hanging="180"/>
      </w:pPr>
      <w:rPr>
        <w:rFonts w:hint="default"/>
      </w:rPr>
    </w:lvl>
    <w:lvl w:ilvl="6">
      <w:start w:val="1"/>
      <w:numFmt w:val="decimal"/>
      <w:lvlText w:val="%7."/>
      <w:lvlJc w:val="left"/>
      <w:pPr>
        <w:ind w:left="7027" w:hanging="360"/>
      </w:pPr>
      <w:rPr>
        <w:rFonts w:hint="default"/>
      </w:rPr>
    </w:lvl>
    <w:lvl w:ilvl="7">
      <w:start w:val="1"/>
      <w:numFmt w:val="lowerLetter"/>
      <w:lvlText w:val="%8."/>
      <w:lvlJc w:val="left"/>
      <w:pPr>
        <w:ind w:left="7747" w:hanging="360"/>
      </w:pPr>
      <w:rPr>
        <w:rFonts w:hint="default"/>
      </w:rPr>
    </w:lvl>
    <w:lvl w:ilvl="8">
      <w:start w:val="1"/>
      <w:numFmt w:val="lowerRoman"/>
      <w:lvlText w:val="%9."/>
      <w:lvlJc w:val="right"/>
      <w:pPr>
        <w:ind w:left="8467" w:hanging="180"/>
      </w:pPr>
      <w:rPr>
        <w:rFonts w:hint="default"/>
      </w:rPr>
    </w:lvl>
  </w:abstractNum>
  <w:abstractNum w:abstractNumId="25" w15:restartNumberingAfterBreak="0">
    <w:nsid w:val="5ABB0118"/>
    <w:multiLevelType w:val="multilevel"/>
    <w:tmpl w:val="AE6A8C5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EC1605"/>
    <w:multiLevelType w:val="hybridMultilevel"/>
    <w:tmpl w:val="CBD2AD24"/>
    <w:lvl w:ilvl="0" w:tplc="01DCC7A0">
      <w:start w:val="1"/>
      <w:numFmt w:val="decimal"/>
      <w:lvlText w:val="%1."/>
      <w:lvlJc w:val="left"/>
      <w:pPr>
        <w:ind w:left="720" w:hanging="360"/>
      </w:pPr>
      <w:rPr>
        <w:rFonts w:ascii="Gotham Book" w:hAnsi="Gotham Book"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1E1DDA"/>
    <w:multiLevelType w:val="multilevel"/>
    <w:tmpl w:val="00B21A48"/>
    <w:numStyleLink w:val="LPLC"/>
  </w:abstractNum>
  <w:abstractNum w:abstractNumId="28" w15:restartNumberingAfterBreak="0">
    <w:nsid w:val="626E4EF8"/>
    <w:multiLevelType w:val="hybridMultilevel"/>
    <w:tmpl w:val="95BCE7B6"/>
    <w:lvl w:ilvl="0" w:tplc="5442C4EA">
      <w:start w:val="1"/>
      <w:numFmt w:val="bullet"/>
      <w:pStyle w:val="LPLCchecklistlevel1"/>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2B3C98"/>
    <w:multiLevelType w:val="multilevel"/>
    <w:tmpl w:val="00B21A48"/>
    <w:numStyleLink w:val="LPLC"/>
  </w:abstractNum>
  <w:abstractNum w:abstractNumId="30" w15:restartNumberingAfterBreak="0">
    <w:nsid w:val="64795401"/>
    <w:multiLevelType w:val="multilevel"/>
    <w:tmpl w:val="00B21A48"/>
    <w:styleLink w:val="LPLC"/>
    <w:lvl w:ilvl="0">
      <w:start w:val="1"/>
      <w:numFmt w:val="decimal"/>
      <w:lvlText w:val="%1."/>
      <w:lvlJc w:val="left"/>
      <w:pPr>
        <w:ind w:left="567" w:hanging="567"/>
      </w:pPr>
      <w:rPr>
        <w:rFonts w:ascii="Gotham Medium" w:hAnsi="Gotham Medium" w:hint="default"/>
        <w:sz w:val="24"/>
      </w:rPr>
    </w:lvl>
    <w:lvl w:ilvl="1">
      <w:start w:val="1"/>
      <w:numFmt w:val="decimal"/>
      <w:lvlText w:val="%1.%2"/>
      <w:lvlJc w:val="left"/>
      <w:pPr>
        <w:ind w:left="567" w:firstLine="0"/>
      </w:pPr>
      <w:rPr>
        <w:rFonts w:ascii="Gotham Book" w:hAnsi="Gotham Book"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A21890"/>
    <w:multiLevelType w:val="multilevel"/>
    <w:tmpl w:val="1D3A8842"/>
    <w:numStyleLink w:val="ListHeadings"/>
  </w:abstractNum>
  <w:abstractNum w:abstractNumId="32" w15:restartNumberingAfterBreak="0">
    <w:nsid w:val="73C06E8B"/>
    <w:multiLevelType w:val="multilevel"/>
    <w:tmpl w:val="2FCCF3F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D04344"/>
    <w:multiLevelType w:val="hybridMultilevel"/>
    <w:tmpl w:val="B78E3ADA"/>
    <w:lvl w:ilvl="0" w:tplc="FF0039EE">
      <w:start w:val="1"/>
      <w:numFmt w:val="lowerLetter"/>
      <w:pStyle w:val="LPLCSecondLevelList"/>
      <w:lvlText w:val="(%1)"/>
      <w:lvlJc w:val="left"/>
      <w:pPr>
        <w:ind w:left="927" w:hanging="360"/>
      </w:pPr>
      <w:rPr>
        <w:rFonts w:ascii="Gotham Book" w:hAnsi="Gotham Book" w:hint="default"/>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A769F5"/>
    <w:multiLevelType w:val="multilevel"/>
    <w:tmpl w:val="C512D612"/>
    <w:lvl w:ilvl="0">
      <w:start w:val="1"/>
      <w:numFmt w:val="decimal"/>
      <w:lvlText w:val="%1."/>
      <w:lvlJc w:val="left"/>
      <w:pPr>
        <w:tabs>
          <w:tab w:val="num" w:pos="454"/>
        </w:tabs>
        <w:ind w:left="454" w:hanging="454"/>
      </w:pPr>
      <w:rPr>
        <w:rFonts w:hint="default"/>
        <w:b w:val="0"/>
        <w:i w:val="0"/>
        <w:sz w:val="20"/>
      </w:rPr>
    </w:lvl>
    <w:lvl w:ilvl="1">
      <w:start w:val="1"/>
      <w:numFmt w:val="lowerRoman"/>
      <w:lvlText w:val="(%2)"/>
      <w:lvlJc w:val="left"/>
      <w:pPr>
        <w:tabs>
          <w:tab w:val="num" w:pos="907"/>
        </w:tabs>
        <w:ind w:left="907" w:hanging="453"/>
      </w:pPr>
      <w:rPr>
        <w:rFonts w:hint="default"/>
        <w:b w:val="0"/>
        <w:bCs w:val="0"/>
        <w:i w:val="0"/>
        <w:iCs w:val="0"/>
        <w:sz w:val="20"/>
        <w:szCs w:val="20"/>
      </w:rPr>
    </w:lvl>
    <w:lvl w:ilvl="2">
      <w:start w:val="1"/>
      <w:numFmt w:val="bullet"/>
      <w:lvlText w:val=""/>
      <w:lvlJc w:val="left"/>
      <w:pPr>
        <w:tabs>
          <w:tab w:val="num" w:pos="1361"/>
        </w:tabs>
        <w:ind w:left="1361" w:hanging="454"/>
      </w:pPr>
      <w:rPr>
        <w:rFonts w:ascii="Symbol" w:hAnsi="Symbol" w:hint="default"/>
        <w:b w:val="0"/>
        <w:i w:val="0"/>
        <w:sz w:val="20"/>
      </w:rPr>
    </w:lvl>
    <w:lvl w:ilvl="3">
      <w:start w:val="1"/>
      <w:numFmt w:val="decimal"/>
      <w:lvlText w:val="%4."/>
      <w:lvlJc w:val="left"/>
      <w:pPr>
        <w:ind w:left="4867" w:hanging="360"/>
      </w:pPr>
      <w:rPr>
        <w:rFonts w:hint="default"/>
      </w:rPr>
    </w:lvl>
    <w:lvl w:ilvl="4">
      <w:start w:val="1"/>
      <w:numFmt w:val="lowerLetter"/>
      <w:lvlText w:val="%5."/>
      <w:lvlJc w:val="left"/>
      <w:pPr>
        <w:ind w:left="5587" w:hanging="360"/>
      </w:pPr>
      <w:rPr>
        <w:rFonts w:hint="default"/>
      </w:rPr>
    </w:lvl>
    <w:lvl w:ilvl="5">
      <w:start w:val="1"/>
      <w:numFmt w:val="lowerRoman"/>
      <w:lvlText w:val="%6."/>
      <w:lvlJc w:val="right"/>
      <w:pPr>
        <w:ind w:left="6307" w:hanging="180"/>
      </w:pPr>
      <w:rPr>
        <w:rFonts w:hint="default"/>
      </w:rPr>
    </w:lvl>
    <w:lvl w:ilvl="6">
      <w:start w:val="1"/>
      <w:numFmt w:val="decimal"/>
      <w:lvlText w:val="%7."/>
      <w:lvlJc w:val="left"/>
      <w:pPr>
        <w:ind w:left="7027" w:hanging="360"/>
      </w:pPr>
      <w:rPr>
        <w:rFonts w:hint="default"/>
      </w:rPr>
    </w:lvl>
    <w:lvl w:ilvl="7">
      <w:start w:val="1"/>
      <w:numFmt w:val="lowerLetter"/>
      <w:lvlText w:val="%8."/>
      <w:lvlJc w:val="left"/>
      <w:pPr>
        <w:ind w:left="7747" w:hanging="360"/>
      </w:pPr>
      <w:rPr>
        <w:rFonts w:hint="default"/>
      </w:rPr>
    </w:lvl>
    <w:lvl w:ilvl="8">
      <w:start w:val="1"/>
      <w:numFmt w:val="lowerRoman"/>
      <w:lvlText w:val="%9."/>
      <w:lvlJc w:val="right"/>
      <w:pPr>
        <w:ind w:left="8467" w:hanging="180"/>
      </w:pPr>
      <w:rPr>
        <w:rFonts w:hint="default"/>
      </w:rPr>
    </w:lvl>
  </w:abstractNum>
  <w:abstractNum w:abstractNumId="35" w15:restartNumberingAfterBreak="0">
    <w:nsid w:val="7EDE5513"/>
    <w:multiLevelType w:val="hybridMultilevel"/>
    <w:tmpl w:val="0D0C090E"/>
    <w:lvl w:ilvl="0" w:tplc="20409016">
      <w:start w:val="1"/>
      <w:numFmt w:val="lowerRoman"/>
      <w:pStyle w:val="LPLCThirdLevelList"/>
      <w:lvlText w:val="%1."/>
      <w:lvlJc w:val="left"/>
      <w:pPr>
        <w:ind w:left="1494" w:hanging="360"/>
      </w:pPr>
      <w:rPr>
        <w:rFonts w:ascii="Gotham Book" w:hAnsi="Gotham Book"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557588493">
    <w:abstractNumId w:val="10"/>
  </w:num>
  <w:num w:numId="2" w16cid:durableId="53085910">
    <w:abstractNumId w:val="8"/>
  </w:num>
  <w:num w:numId="3" w16cid:durableId="861548147">
    <w:abstractNumId w:val="7"/>
  </w:num>
  <w:num w:numId="4" w16cid:durableId="2071416824">
    <w:abstractNumId w:val="6"/>
  </w:num>
  <w:num w:numId="5" w16cid:durableId="94129850">
    <w:abstractNumId w:val="5"/>
  </w:num>
  <w:num w:numId="6" w16cid:durableId="66223034">
    <w:abstractNumId w:val="9"/>
  </w:num>
  <w:num w:numId="7" w16cid:durableId="38408387">
    <w:abstractNumId w:val="4"/>
  </w:num>
  <w:num w:numId="8" w16cid:durableId="1470627894">
    <w:abstractNumId w:val="3"/>
  </w:num>
  <w:num w:numId="9" w16cid:durableId="1713263857">
    <w:abstractNumId w:val="2"/>
  </w:num>
  <w:num w:numId="10" w16cid:durableId="852110046">
    <w:abstractNumId w:val="1"/>
  </w:num>
  <w:num w:numId="11" w16cid:durableId="990207911">
    <w:abstractNumId w:val="0"/>
  </w:num>
  <w:num w:numId="12" w16cid:durableId="1479221313">
    <w:abstractNumId w:val="21"/>
  </w:num>
  <w:num w:numId="13" w16cid:durableId="1938169255">
    <w:abstractNumId w:val="34"/>
  </w:num>
  <w:num w:numId="14" w16cid:durableId="2070880254">
    <w:abstractNumId w:val="32"/>
  </w:num>
  <w:num w:numId="15" w16cid:durableId="523982130">
    <w:abstractNumId w:val="23"/>
  </w:num>
  <w:num w:numId="16" w16cid:durableId="2100826550">
    <w:abstractNumId w:val="19"/>
  </w:num>
  <w:num w:numId="17" w16cid:durableId="679507705">
    <w:abstractNumId w:val="20"/>
  </w:num>
  <w:num w:numId="18" w16cid:durableId="1817409664">
    <w:abstractNumId w:val="24"/>
  </w:num>
  <w:num w:numId="19" w16cid:durableId="974991187">
    <w:abstractNumId w:val="25"/>
  </w:num>
  <w:num w:numId="20" w16cid:durableId="1779719367">
    <w:abstractNumId w:val="12"/>
  </w:num>
  <w:num w:numId="21" w16cid:durableId="1584146170">
    <w:abstractNumId w:val="33"/>
  </w:num>
  <w:num w:numId="22" w16cid:durableId="8725766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3109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5844942">
    <w:abstractNumId w:val="35"/>
  </w:num>
  <w:num w:numId="25" w16cid:durableId="622686257">
    <w:abstractNumId w:val="35"/>
  </w:num>
  <w:num w:numId="26" w16cid:durableId="1363675877">
    <w:abstractNumId w:val="13"/>
  </w:num>
  <w:num w:numId="27" w16cid:durableId="1358851400">
    <w:abstractNumId w:val="31"/>
  </w:num>
  <w:num w:numId="28" w16cid:durableId="17503467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8236738">
    <w:abstractNumId w:val="30"/>
  </w:num>
  <w:num w:numId="30" w16cid:durableId="256868096">
    <w:abstractNumId w:val="27"/>
  </w:num>
  <w:num w:numId="31" w16cid:durableId="1561987509">
    <w:abstractNumId w:val="29"/>
    <w:lvlOverride w:ilvl="0">
      <w:lvl w:ilvl="0">
        <w:numFmt w:val="decimal"/>
        <w:lvlText w:val=""/>
        <w:lvlJc w:val="left"/>
      </w:lvl>
    </w:lvlOverride>
    <w:lvlOverride w:ilvl="1">
      <w:lvl w:ilvl="1">
        <w:start w:val="1"/>
        <w:numFmt w:val="decimal"/>
        <w:lvlText w:val="%1.%2"/>
        <w:lvlJc w:val="left"/>
        <w:pPr>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32" w16cid:durableId="708533655">
    <w:abstractNumId w:val="26"/>
  </w:num>
  <w:num w:numId="33" w16cid:durableId="635570196">
    <w:abstractNumId w:val="33"/>
    <w:lvlOverride w:ilvl="0">
      <w:startOverride w:val="1"/>
    </w:lvlOverride>
  </w:num>
  <w:num w:numId="34" w16cid:durableId="504712583">
    <w:abstractNumId w:val="15"/>
  </w:num>
  <w:num w:numId="35" w16cid:durableId="455294446">
    <w:abstractNumId w:val="17"/>
  </w:num>
  <w:num w:numId="36" w16cid:durableId="1134446981">
    <w:abstractNumId w:val="18"/>
  </w:num>
  <w:num w:numId="37" w16cid:durableId="2102215364">
    <w:abstractNumId w:val="22"/>
  </w:num>
  <w:num w:numId="38" w16cid:durableId="1123379640">
    <w:abstractNumId w:val="11"/>
  </w:num>
  <w:num w:numId="39" w16cid:durableId="1242984903">
    <w:abstractNumId w:val="18"/>
  </w:num>
  <w:num w:numId="40" w16cid:durableId="127289503">
    <w:abstractNumId w:val="11"/>
  </w:num>
  <w:num w:numId="41" w16cid:durableId="877279099">
    <w:abstractNumId w:val="11"/>
  </w:num>
  <w:num w:numId="42" w16cid:durableId="1105812370">
    <w:abstractNumId w:val="28"/>
  </w:num>
  <w:num w:numId="43" w16cid:durableId="1047993309">
    <w:abstractNumId w:val="14"/>
  </w:num>
  <w:num w:numId="44" w16cid:durableId="2067296725">
    <w:abstractNumId w:val="29"/>
    <w:lvlOverride w:ilvl="0">
      <w:lvl w:ilvl="0">
        <w:numFmt w:val="decimal"/>
        <w:lvlText w:val=""/>
        <w:lvlJc w:val="left"/>
      </w:lvl>
    </w:lvlOverride>
    <w:lvlOverride w:ilvl="1">
      <w:lvl w:ilvl="1">
        <w:start w:val="1"/>
        <w:numFmt w:val="decimal"/>
        <w:lvlText w:val="%1.%2"/>
        <w:lvlJc w:val="left"/>
        <w:pPr>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num>
  <w:num w:numId="45" w16cid:durableId="221336916">
    <w:abstractNumId w:val="16"/>
  </w:num>
  <w:num w:numId="46" w16cid:durableId="649751838">
    <w:abstractNumId w:val="14"/>
  </w:num>
  <w:num w:numId="47" w16cid:durableId="2064400581">
    <w:abstractNumId w:val="14"/>
  </w:num>
  <w:num w:numId="48" w16cid:durableId="551356504">
    <w:abstractNumId w:val="14"/>
  </w:num>
  <w:num w:numId="49" w16cid:durableId="1104349822">
    <w:abstractNumId w:val="14"/>
  </w:num>
  <w:num w:numId="50" w16cid:durableId="11547557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110"/>
  <w:drawingGridVerticalSpacing w:val="299"/>
  <w:displayHorizont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C33"/>
    <w:rsid w:val="00000B46"/>
    <w:rsid w:val="000114DB"/>
    <w:rsid w:val="00016C5D"/>
    <w:rsid w:val="0004494C"/>
    <w:rsid w:val="000504C9"/>
    <w:rsid w:val="000525CF"/>
    <w:rsid w:val="00053D17"/>
    <w:rsid w:val="00055D61"/>
    <w:rsid w:val="00063566"/>
    <w:rsid w:val="00067687"/>
    <w:rsid w:val="00090350"/>
    <w:rsid w:val="00090A12"/>
    <w:rsid w:val="000A25DB"/>
    <w:rsid w:val="000A504E"/>
    <w:rsid w:val="000D1647"/>
    <w:rsid w:val="000D1DCC"/>
    <w:rsid w:val="000D4C7F"/>
    <w:rsid w:val="000D7FF9"/>
    <w:rsid w:val="000E0152"/>
    <w:rsid w:val="000F202B"/>
    <w:rsid w:val="00102405"/>
    <w:rsid w:val="00117469"/>
    <w:rsid w:val="0012214C"/>
    <w:rsid w:val="00145BFE"/>
    <w:rsid w:val="00171D2C"/>
    <w:rsid w:val="00184465"/>
    <w:rsid w:val="0019756C"/>
    <w:rsid w:val="001C1E2C"/>
    <w:rsid w:val="001C35EA"/>
    <w:rsid w:val="001C6F01"/>
    <w:rsid w:val="001D34FF"/>
    <w:rsid w:val="001E41BB"/>
    <w:rsid w:val="00227E61"/>
    <w:rsid w:val="00235450"/>
    <w:rsid w:val="002465F9"/>
    <w:rsid w:val="0025040A"/>
    <w:rsid w:val="00250F05"/>
    <w:rsid w:val="002522FA"/>
    <w:rsid w:val="002A4063"/>
    <w:rsid w:val="002E288D"/>
    <w:rsid w:val="002F74EF"/>
    <w:rsid w:val="00302F31"/>
    <w:rsid w:val="00317277"/>
    <w:rsid w:val="003206EB"/>
    <w:rsid w:val="00336521"/>
    <w:rsid w:val="003462E5"/>
    <w:rsid w:val="00351758"/>
    <w:rsid w:val="00357FA7"/>
    <w:rsid w:val="0038187C"/>
    <w:rsid w:val="00385ECD"/>
    <w:rsid w:val="003A70FB"/>
    <w:rsid w:val="003D0CD2"/>
    <w:rsid w:val="003D1C92"/>
    <w:rsid w:val="003D5CBE"/>
    <w:rsid w:val="003F03C7"/>
    <w:rsid w:val="00403437"/>
    <w:rsid w:val="0041355D"/>
    <w:rsid w:val="00432A54"/>
    <w:rsid w:val="00440AEF"/>
    <w:rsid w:val="00476384"/>
    <w:rsid w:val="00476551"/>
    <w:rsid w:val="00494409"/>
    <w:rsid w:val="004A3A13"/>
    <w:rsid w:val="004B7862"/>
    <w:rsid w:val="004F5531"/>
    <w:rsid w:val="00501E3E"/>
    <w:rsid w:val="005039BB"/>
    <w:rsid w:val="00505413"/>
    <w:rsid w:val="005156F0"/>
    <w:rsid w:val="00522045"/>
    <w:rsid w:val="00522F5E"/>
    <w:rsid w:val="00525767"/>
    <w:rsid w:val="00526154"/>
    <w:rsid w:val="00545506"/>
    <w:rsid w:val="005506D9"/>
    <w:rsid w:val="00557E59"/>
    <w:rsid w:val="00584406"/>
    <w:rsid w:val="00586ECB"/>
    <w:rsid w:val="0059405E"/>
    <w:rsid w:val="005B1CB2"/>
    <w:rsid w:val="005B53D8"/>
    <w:rsid w:val="005C1D59"/>
    <w:rsid w:val="005E1221"/>
    <w:rsid w:val="005E2599"/>
    <w:rsid w:val="0061406E"/>
    <w:rsid w:val="00620B01"/>
    <w:rsid w:val="00626DC4"/>
    <w:rsid w:val="00632BC4"/>
    <w:rsid w:val="00632CF8"/>
    <w:rsid w:val="006361AA"/>
    <w:rsid w:val="00636447"/>
    <w:rsid w:val="0063792E"/>
    <w:rsid w:val="006437BB"/>
    <w:rsid w:val="006451D5"/>
    <w:rsid w:val="006605AE"/>
    <w:rsid w:val="006929B2"/>
    <w:rsid w:val="006A03A6"/>
    <w:rsid w:val="006A0AB6"/>
    <w:rsid w:val="006A16AA"/>
    <w:rsid w:val="006A37E6"/>
    <w:rsid w:val="006B03D1"/>
    <w:rsid w:val="006B5983"/>
    <w:rsid w:val="006D0187"/>
    <w:rsid w:val="006D2F3A"/>
    <w:rsid w:val="006D6B5B"/>
    <w:rsid w:val="00702626"/>
    <w:rsid w:val="00707C0D"/>
    <w:rsid w:val="007318B8"/>
    <w:rsid w:val="00733E0B"/>
    <w:rsid w:val="0074036D"/>
    <w:rsid w:val="00740A4F"/>
    <w:rsid w:val="00745611"/>
    <w:rsid w:val="007530B6"/>
    <w:rsid w:val="00757AEB"/>
    <w:rsid w:val="00764B82"/>
    <w:rsid w:val="00770C33"/>
    <w:rsid w:val="00794638"/>
    <w:rsid w:val="00795D61"/>
    <w:rsid w:val="007A05EF"/>
    <w:rsid w:val="007B1FBD"/>
    <w:rsid w:val="007C08AC"/>
    <w:rsid w:val="007C1904"/>
    <w:rsid w:val="007C593C"/>
    <w:rsid w:val="007E51B2"/>
    <w:rsid w:val="007F577F"/>
    <w:rsid w:val="007F74FA"/>
    <w:rsid w:val="00810058"/>
    <w:rsid w:val="00840E7D"/>
    <w:rsid w:val="00880233"/>
    <w:rsid w:val="00882006"/>
    <w:rsid w:val="008C6E8A"/>
    <w:rsid w:val="008D5297"/>
    <w:rsid w:val="009056D3"/>
    <w:rsid w:val="00906D8D"/>
    <w:rsid w:val="00925724"/>
    <w:rsid w:val="00930F64"/>
    <w:rsid w:val="00950619"/>
    <w:rsid w:val="00950BBD"/>
    <w:rsid w:val="00964510"/>
    <w:rsid w:val="00973FBD"/>
    <w:rsid w:val="00980B29"/>
    <w:rsid w:val="00981D3A"/>
    <w:rsid w:val="00981F60"/>
    <w:rsid w:val="009943D7"/>
    <w:rsid w:val="00997B82"/>
    <w:rsid w:val="00997FFE"/>
    <w:rsid w:val="009C64AF"/>
    <w:rsid w:val="009E1896"/>
    <w:rsid w:val="009F1E4F"/>
    <w:rsid w:val="009F3B9E"/>
    <w:rsid w:val="00A01B97"/>
    <w:rsid w:val="00A06EE8"/>
    <w:rsid w:val="00A14058"/>
    <w:rsid w:val="00A33073"/>
    <w:rsid w:val="00A36FFC"/>
    <w:rsid w:val="00A46014"/>
    <w:rsid w:val="00A47090"/>
    <w:rsid w:val="00A47FB8"/>
    <w:rsid w:val="00A923CF"/>
    <w:rsid w:val="00AA7495"/>
    <w:rsid w:val="00AD466E"/>
    <w:rsid w:val="00AD7EFA"/>
    <w:rsid w:val="00AF1654"/>
    <w:rsid w:val="00AF458D"/>
    <w:rsid w:val="00B07D82"/>
    <w:rsid w:val="00B23D71"/>
    <w:rsid w:val="00B2774E"/>
    <w:rsid w:val="00B439CF"/>
    <w:rsid w:val="00B52E48"/>
    <w:rsid w:val="00B61DA5"/>
    <w:rsid w:val="00B66EF5"/>
    <w:rsid w:val="00B75D6A"/>
    <w:rsid w:val="00B871CA"/>
    <w:rsid w:val="00BA5F90"/>
    <w:rsid w:val="00BB2A02"/>
    <w:rsid w:val="00BE1C77"/>
    <w:rsid w:val="00BE2F6A"/>
    <w:rsid w:val="00BE3D5E"/>
    <w:rsid w:val="00C0273D"/>
    <w:rsid w:val="00C06E4D"/>
    <w:rsid w:val="00C10675"/>
    <w:rsid w:val="00C14987"/>
    <w:rsid w:val="00C155D4"/>
    <w:rsid w:val="00C24785"/>
    <w:rsid w:val="00C32B87"/>
    <w:rsid w:val="00C32BA5"/>
    <w:rsid w:val="00C42DCB"/>
    <w:rsid w:val="00C5164A"/>
    <w:rsid w:val="00C51F55"/>
    <w:rsid w:val="00C5530B"/>
    <w:rsid w:val="00C625EC"/>
    <w:rsid w:val="00C64298"/>
    <w:rsid w:val="00C6722E"/>
    <w:rsid w:val="00C711ED"/>
    <w:rsid w:val="00C766D8"/>
    <w:rsid w:val="00C82613"/>
    <w:rsid w:val="00C85DC4"/>
    <w:rsid w:val="00C971A5"/>
    <w:rsid w:val="00CA6F9C"/>
    <w:rsid w:val="00CC36E5"/>
    <w:rsid w:val="00CC3A5E"/>
    <w:rsid w:val="00CC7F13"/>
    <w:rsid w:val="00CD69A5"/>
    <w:rsid w:val="00CF0872"/>
    <w:rsid w:val="00D0315C"/>
    <w:rsid w:val="00D14EA9"/>
    <w:rsid w:val="00D2769F"/>
    <w:rsid w:val="00D44B02"/>
    <w:rsid w:val="00D45A0F"/>
    <w:rsid w:val="00D73576"/>
    <w:rsid w:val="00D75122"/>
    <w:rsid w:val="00D87634"/>
    <w:rsid w:val="00D87B88"/>
    <w:rsid w:val="00D90443"/>
    <w:rsid w:val="00D96907"/>
    <w:rsid w:val="00D97362"/>
    <w:rsid w:val="00DA2435"/>
    <w:rsid w:val="00DA31DE"/>
    <w:rsid w:val="00DB7903"/>
    <w:rsid w:val="00DD3D08"/>
    <w:rsid w:val="00DE23CB"/>
    <w:rsid w:val="00DE32A2"/>
    <w:rsid w:val="00DE664B"/>
    <w:rsid w:val="00E16113"/>
    <w:rsid w:val="00E23866"/>
    <w:rsid w:val="00E24D88"/>
    <w:rsid w:val="00E25A8D"/>
    <w:rsid w:val="00E53D2E"/>
    <w:rsid w:val="00E54361"/>
    <w:rsid w:val="00E56483"/>
    <w:rsid w:val="00E84606"/>
    <w:rsid w:val="00E854B1"/>
    <w:rsid w:val="00E87EAA"/>
    <w:rsid w:val="00E93546"/>
    <w:rsid w:val="00E95251"/>
    <w:rsid w:val="00E96287"/>
    <w:rsid w:val="00EA3982"/>
    <w:rsid w:val="00EB44BD"/>
    <w:rsid w:val="00ED154F"/>
    <w:rsid w:val="00ED53C4"/>
    <w:rsid w:val="00EF3C93"/>
    <w:rsid w:val="00F23F5C"/>
    <w:rsid w:val="00F24FFF"/>
    <w:rsid w:val="00F322B3"/>
    <w:rsid w:val="00F437E4"/>
    <w:rsid w:val="00F440C0"/>
    <w:rsid w:val="00F46D9E"/>
    <w:rsid w:val="00F47500"/>
    <w:rsid w:val="00F63C51"/>
    <w:rsid w:val="00F64A4D"/>
    <w:rsid w:val="00F66C74"/>
    <w:rsid w:val="00F853DC"/>
    <w:rsid w:val="00F96E5B"/>
    <w:rsid w:val="00FA133F"/>
    <w:rsid w:val="00FB71E4"/>
    <w:rsid w:val="00FD49D0"/>
    <w:rsid w:val="00FF0C98"/>
    <w:rsid w:val="00FF2DAE"/>
    <w:rsid w:val="00FF50FB"/>
    <w:rsid w:val="01BCACFA"/>
    <w:rsid w:val="060A8189"/>
    <w:rsid w:val="0806CFEA"/>
    <w:rsid w:val="0B08F3C2"/>
    <w:rsid w:val="177211D6"/>
    <w:rsid w:val="180FBDF0"/>
    <w:rsid w:val="19E0F8B4"/>
    <w:rsid w:val="1A13D4CC"/>
    <w:rsid w:val="1DD5ED0C"/>
    <w:rsid w:val="2A67C7F3"/>
    <w:rsid w:val="376D9EA6"/>
    <w:rsid w:val="386E45CA"/>
    <w:rsid w:val="38D84D9B"/>
    <w:rsid w:val="4466E3E4"/>
    <w:rsid w:val="473FF914"/>
    <w:rsid w:val="4B633C18"/>
    <w:rsid w:val="537195A4"/>
    <w:rsid w:val="628B25A9"/>
    <w:rsid w:val="6990A068"/>
    <w:rsid w:val="6B61190B"/>
    <w:rsid w:val="6DCE3073"/>
    <w:rsid w:val="6E2532FA"/>
    <w:rsid w:val="6E45E835"/>
    <w:rsid w:val="6FCBB2AA"/>
    <w:rsid w:val="74BE2FA7"/>
    <w:rsid w:val="7C052CFE"/>
    <w:rsid w:val="7C118CC4"/>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F89F06"/>
  <w15:docId w15:val="{342647F3-0F78-4C19-BDC8-EC0C3BA2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EastAsia" w:hAnsi="Century Gothic" w:cstheme="minorBidi"/>
        <w:color w:val="000000" w:themeColor="text1"/>
        <w:sz w:val="22"/>
        <w:szCs w:val="22"/>
        <w:lang w:val="en-AU"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C33"/>
    <w:pPr>
      <w:spacing w:line="276" w:lineRule="auto"/>
    </w:pPr>
  </w:style>
  <w:style w:type="paragraph" w:styleId="Heading1">
    <w:name w:val="heading 1"/>
    <w:basedOn w:val="Normal"/>
    <w:next w:val="Normal"/>
    <w:link w:val="Heading1Char"/>
    <w:autoRedefine/>
    <w:uiPriority w:val="9"/>
    <w:qFormat/>
    <w:rsid w:val="00D97362"/>
    <w:pPr>
      <w:keepNext/>
      <w:keepLines/>
      <w:spacing w:after="0" w:line="240" w:lineRule="auto"/>
      <w:outlineLvl w:val="0"/>
    </w:pPr>
    <w:rPr>
      <w:rFonts w:eastAsiaTheme="majorEastAsia" w:cstheme="majorBidi"/>
      <w:bCs/>
      <w:color w:val="00B4CD" w:themeColor="text2"/>
      <w:sz w:val="32"/>
      <w:szCs w:val="32"/>
    </w:rPr>
  </w:style>
  <w:style w:type="paragraph" w:styleId="Heading2">
    <w:name w:val="heading 2"/>
    <w:basedOn w:val="Normal"/>
    <w:next w:val="Normal"/>
    <w:link w:val="Heading2Char"/>
    <w:autoRedefine/>
    <w:uiPriority w:val="9"/>
    <w:unhideWhenUsed/>
    <w:rsid w:val="00D97362"/>
    <w:pPr>
      <w:keepNext/>
      <w:keepLines/>
      <w:spacing w:line="240" w:lineRule="auto"/>
      <w:outlineLvl w:val="1"/>
    </w:pPr>
    <w:rPr>
      <w:rFonts w:eastAsiaTheme="majorEastAsia" w:cstheme="majorBidi"/>
      <w:bCs/>
      <w:color w:val="00B4CD" w:themeColor="text2"/>
      <w:sz w:val="28"/>
      <w:szCs w:val="26"/>
    </w:rPr>
  </w:style>
  <w:style w:type="paragraph" w:styleId="Heading3">
    <w:name w:val="heading 3"/>
    <w:basedOn w:val="Normal"/>
    <w:next w:val="Normal"/>
    <w:link w:val="Heading3Char"/>
    <w:autoRedefine/>
    <w:uiPriority w:val="9"/>
    <w:unhideWhenUsed/>
    <w:rsid w:val="00D97362"/>
    <w:pPr>
      <w:keepNext/>
      <w:keepLines/>
      <w:outlineLvl w:val="2"/>
    </w:pPr>
    <w:rPr>
      <w:rFonts w:eastAsiaTheme="majorEastAsia" w:cstheme="majorBidi"/>
      <w:bCs/>
    </w:rPr>
  </w:style>
  <w:style w:type="paragraph" w:styleId="Heading4">
    <w:name w:val="heading 4"/>
    <w:basedOn w:val="Normal"/>
    <w:next w:val="Normal"/>
    <w:link w:val="Heading4Char"/>
    <w:autoRedefine/>
    <w:uiPriority w:val="9"/>
    <w:unhideWhenUsed/>
    <w:rsid w:val="00D97362"/>
    <w:pPr>
      <w:keepNext/>
      <w:keepLines/>
      <w:outlineLvl w:val="3"/>
    </w:pPr>
    <w:rPr>
      <w:rFonts w:eastAsiaTheme="majorEastAsia" w:cstheme="majorBidi"/>
      <w:b/>
      <w:bCs/>
      <w:i/>
      <w:iCs/>
      <w:color w:val="4D4883" w:themeColor="accent1"/>
    </w:rPr>
  </w:style>
  <w:style w:type="paragraph" w:styleId="Heading5">
    <w:name w:val="heading 5"/>
    <w:basedOn w:val="Normal"/>
    <w:next w:val="Normal"/>
    <w:link w:val="Heading5Char"/>
    <w:autoRedefine/>
    <w:uiPriority w:val="9"/>
    <w:semiHidden/>
    <w:unhideWhenUsed/>
    <w:rsid w:val="00D97362"/>
    <w:pPr>
      <w:keepNext/>
      <w:keepLines/>
      <w:outlineLvl w:val="4"/>
    </w:pPr>
    <w:rPr>
      <w:rFonts w:eastAsiaTheme="majorEastAsia" w:cstheme="majorBidi"/>
      <w:color w:val="26244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B257B"/>
    <w:rPr>
      <w:rFonts w:ascii="Lucida Grande" w:hAnsi="Lucida Grande"/>
    </w:rPr>
  </w:style>
  <w:style w:type="paragraph" w:styleId="Header">
    <w:name w:val="header"/>
    <w:basedOn w:val="Normal"/>
    <w:link w:val="HeaderChar"/>
    <w:autoRedefine/>
    <w:uiPriority w:val="99"/>
    <w:unhideWhenUsed/>
    <w:rsid w:val="00794638"/>
    <w:pPr>
      <w:tabs>
        <w:tab w:val="center" w:pos="4320"/>
        <w:tab w:val="right" w:pos="8640"/>
      </w:tabs>
      <w:spacing w:after="0" w:line="720" w:lineRule="auto"/>
    </w:pPr>
    <w:rPr>
      <w:noProof/>
      <w:lang w:val="en-US" w:eastAsia="en-US"/>
    </w:rPr>
  </w:style>
  <w:style w:type="character" w:customStyle="1" w:styleId="HeaderChar">
    <w:name w:val="Header Char"/>
    <w:basedOn w:val="DefaultParagraphFont"/>
    <w:link w:val="Header"/>
    <w:uiPriority w:val="99"/>
    <w:rsid w:val="00794638"/>
    <w:rPr>
      <w:rFonts w:ascii="Century Gothic" w:hAnsi="Century Gothic"/>
      <w:noProof/>
      <w:sz w:val="22"/>
      <w:szCs w:val="24"/>
      <w:lang w:val="en-US" w:eastAsia="en-US"/>
    </w:rPr>
  </w:style>
  <w:style w:type="paragraph" w:styleId="Footer">
    <w:name w:val="footer"/>
    <w:basedOn w:val="BasicParagraph"/>
    <w:link w:val="FooterChar"/>
    <w:autoRedefine/>
    <w:uiPriority w:val="99"/>
    <w:unhideWhenUsed/>
    <w:rsid w:val="00794638"/>
    <w:pPr>
      <w:tabs>
        <w:tab w:val="left" w:pos="2552"/>
        <w:tab w:val="left" w:pos="2722"/>
        <w:tab w:val="left" w:pos="4820"/>
        <w:tab w:val="left" w:pos="5103"/>
      </w:tabs>
      <w:suppressAutoHyphens/>
    </w:pPr>
    <w:rPr>
      <w:rFonts w:cs="Gotham-Book"/>
      <w:color w:val="00B4CD" w:themeColor="text2"/>
      <w:kern w:val="20"/>
      <w:sz w:val="16"/>
      <w:szCs w:val="16"/>
    </w:rPr>
  </w:style>
  <w:style w:type="character" w:customStyle="1" w:styleId="FooterChar">
    <w:name w:val="Footer Char"/>
    <w:basedOn w:val="DefaultParagraphFont"/>
    <w:link w:val="Footer"/>
    <w:uiPriority w:val="99"/>
    <w:rsid w:val="00794638"/>
    <w:rPr>
      <w:rFonts w:ascii="Century Gothic" w:hAnsi="Century Gothic" w:cs="Gotham-Book"/>
      <w:color w:val="00B4CD" w:themeColor="text2"/>
      <w:kern w:val="20"/>
      <w:sz w:val="16"/>
      <w:szCs w:val="16"/>
      <w:lang w:val="en-US"/>
    </w:rPr>
  </w:style>
  <w:style w:type="paragraph" w:customStyle="1" w:styleId="BasicParagraph">
    <w:name w:val="[Basic Paragraph]"/>
    <w:basedOn w:val="Normal"/>
    <w:autoRedefine/>
    <w:uiPriority w:val="99"/>
    <w:rsid w:val="00794638"/>
    <w:pPr>
      <w:widowControl w:val="0"/>
      <w:autoSpaceDE w:val="0"/>
      <w:autoSpaceDN w:val="0"/>
      <w:adjustRightInd w:val="0"/>
      <w:textAlignment w:val="center"/>
    </w:pPr>
    <w:rPr>
      <w:rFonts w:cs="Times-Roman"/>
      <w:color w:val="000000"/>
      <w:lang w:val="en-US"/>
    </w:rPr>
  </w:style>
  <w:style w:type="character" w:styleId="Hyperlink">
    <w:name w:val="Hyperlink"/>
    <w:basedOn w:val="DefaultParagraphFont"/>
    <w:uiPriority w:val="99"/>
    <w:unhideWhenUsed/>
    <w:rsid w:val="00AA7495"/>
    <w:rPr>
      <w:rFonts w:ascii="Century Gothic" w:hAnsi="Century Gothic"/>
      <w:color w:val="00B4CD" w:themeColor="text2"/>
      <w:sz w:val="20"/>
      <w:u w:val="single"/>
    </w:rPr>
  </w:style>
  <w:style w:type="character" w:customStyle="1" w:styleId="Heading1Char">
    <w:name w:val="Heading 1 Char"/>
    <w:basedOn w:val="DefaultParagraphFont"/>
    <w:link w:val="Heading1"/>
    <w:uiPriority w:val="9"/>
    <w:rsid w:val="00D97362"/>
    <w:rPr>
      <w:rFonts w:ascii="Century Gothic" w:eastAsiaTheme="majorEastAsia" w:hAnsi="Century Gothic" w:cstheme="majorBidi"/>
      <w:bCs/>
      <w:color w:val="00B4CD" w:themeColor="text2"/>
      <w:sz w:val="32"/>
      <w:szCs w:val="32"/>
    </w:rPr>
  </w:style>
  <w:style w:type="character" w:customStyle="1" w:styleId="Heading2Char">
    <w:name w:val="Heading 2 Char"/>
    <w:basedOn w:val="DefaultParagraphFont"/>
    <w:link w:val="Heading2"/>
    <w:uiPriority w:val="9"/>
    <w:rsid w:val="00D97362"/>
    <w:rPr>
      <w:rFonts w:ascii="Century Gothic" w:eastAsiaTheme="majorEastAsia" w:hAnsi="Century Gothic" w:cstheme="majorBidi"/>
      <w:bCs/>
      <w:color w:val="00B4CD" w:themeColor="text2"/>
      <w:sz w:val="28"/>
      <w:szCs w:val="26"/>
    </w:rPr>
  </w:style>
  <w:style w:type="paragraph" w:styleId="Title">
    <w:name w:val="Title"/>
    <w:basedOn w:val="Normal"/>
    <w:next w:val="Normal"/>
    <w:link w:val="TitleChar"/>
    <w:autoRedefine/>
    <w:uiPriority w:val="10"/>
    <w:rsid w:val="00794638"/>
    <w:rPr>
      <w:rFonts w:eastAsiaTheme="majorEastAsia" w:cstheme="majorBidi"/>
      <w:color w:val="00B4CD" w:themeColor="text2"/>
      <w:spacing w:val="5"/>
      <w:kern w:val="28"/>
      <w:sz w:val="44"/>
      <w:szCs w:val="44"/>
    </w:rPr>
  </w:style>
  <w:style w:type="character" w:customStyle="1" w:styleId="TitleChar">
    <w:name w:val="Title Char"/>
    <w:basedOn w:val="DefaultParagraphFont"/>
    <w:link w:val="Title"/>
    <w:uiPriority w:val="10"/>
    <w:rsid w:val="00794638"/>
    <w:rPr>
      <w:rFonts w:ascii="Century Gothic" w:eastAsiaTheme="majorEastAsia" w:hAnsi="Century Gothic" w:cstheme="majorBidi"/>
      <w:color w:val="00B4CD" w:themeColor="text2"/>
      <w:spacing w:val="5"/>
      <w:kern w:val="28"/>
      <w:sz w:val="44"/>
      <w:szCs w:val="44"/>
    </w:rPr>
  </w:style>
  <w:style w:type="paragraph" w:styleId="Subtitle">
    <w:name w:val="Subtitle"/>
    <w:basedOn w:val="Normal"/>
    <w:next w:val="Normal"/>
    <w:link w:val="SubtitleChar"/>
    <w:autoRedefine/>
    <w:uiPriority w:val="11"/>
    <w:rsid w:val="00794638"/>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94638"/>
    <w:rPr>
      <w:rFonts w:ascii="Century Gothic" w:eastAsiaTheme="majorEastAsia" w:hAnsi="Century Gothic" w:cstheme="majorBidi"/>
      <w:iCs/>
      <w:spacing w:val="15"/>
      <w:sz w:val="22"/>
      <w:szCs w:val="24"/>
    </w:rPr>
  </w:style>
  <w:style w:type="paragraph" w:styleId="BodyText">
    <w:name w:val="Body Text"/>
    <w:basedOn w:val="BasicParagraph"/>
    <w:link w:val="BodyTextChar"/>
    <w:autoRedefine/>
    <w:uiPriority w:val="99"/>
    <w:unhideWhenUsed/>
    <w:rsid w:val="00794638"/>
    <w:rPr>
      <w:rFonts w:cs="Gotham-Book"/>
      <w:kern w:val="24"/>
    </w:rPr>
  </w:style>
  <w:style w:type="character" w:customStyle="1" w:styleId="BodyTextChar">
    <w:name w:val="Body Text Char"/>
    <w:basedOn w:val="DefaultParagraphFont"/>
    <w:link w:val="BodyText"/>
    <w:uiPriority w:val="99"/>
    <w:rsid w:val="00794638"/>
    <w:rPr>
      <w:rFonts w:ascii="Century Gothic" w:hAnsi="Century Gothic" w:cs="Gotham-Book"/>
      <w:color w:val="000000"/>
      <w:kern w:val="24"/>
      <w:sz w:val="22"/>
      <w:lang w:val="en-US"/>
    </w:rPr>
  </w:style>
  <w:style w:type="paragraph" w:styleId="BodyTextFirstIndent">
    <w:name w:val="Body Text First Indent"/>
    <w:basedOn w:val="BodyText"/>
    <w:link w:val="BodyTextFirstIndentChar"/>
    <w:autoRedefine/>
    <w:uiPriority w:val="99"/>
    <w:unhideWhenUsed/>
    <w:rsid w:val="00794638"/>
    <w:pPr>
      <w:widowControl/>
      <w:autoSpaceDE/>
      <w:autoSpaceDN/>
      <w:adjustRightInd/>
      <w:ind w:firstLine="357"/>
      <w:textAlignment w:val="auto"/>
    </w:pPr>
    <w:rPr>
      <w:rFonts w:cstheme="minorBidi"/>
      <w:color w:val="000000" w:themeColor="text1"/>
      <w:kern w:val="0"/>
      <w:szCs w:val="24"/>
      <w:lang w:val="en-AU"/>
    </w:rPr>
  </w:style>
  <w:style w:type="character" w:customStyle="1" w:styleId="BodyTextFirstIndentChar">
    <w:name w:val="Body Text First Indent Char"/>
    <w:basedOn w:val="BodyTextChar"/>
    <w:link w:val="BodyTextFirstIndent"/>
    <w:uiPriority w:val="99"/>
    <w:rsid w:val="00794638"/>
    <w:rPr>
      <w:rFonts w:ascii="Century Gothic" w:hAnsi="Century Gothic" w:cs="Gotham-Book"/>
      <w:color w:val="000000"/>
      <w:kern w:val="24"/>
      <w:sz w:val="22"/>
      <w:szCs w:val="24"/>
      <w:lang w:val="en-US"/>
    </w:rPr>
  </w:style>
  <w:style w:type="table" w:styleId="TableGrid">
    <w:name w:val="Table Grid"/>
    <w:basedOn w:val="TableNormal"/>
    <w:uiPriority w:val="59"/>
    <w:rsid w:val="00795D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7362"/>
    <w:rPr>
      <w:rFonts w:ascii="Century Gothic" w:eastAsiaTheme="majorEastAsia" w:hAnsi="Century Gothic" w:cstheme="majorBidi"/>
      <w:bCs/>
      <w:sz w:val="22"/>
      <w:szCs w:val="24"/>
    </w:rPr>
  </w:style>
  <w:style w:type="paragraph" w:styleId="List2">
    <w:name w:val="List 2"/>
    <w:basedOn w:val="Normal"/>
    <w:autoRedefine/>
    <w:uiPriority w:val="99"/>
    <w:unhideWhenUsed/>
    <w:rsid w:val="00794638"/>
    <w:pPr>
      <w:tabs>
        <w:tab w:val="left" w:pos="680"/>
      </w:tabs>
      <w:ind w:left="681" w:hanging="397"/>
    </w:pPr>
  </w:style>
  <w:style w:type="paragraph" w:styleId="List">
    <w:name w:val="List"/>
    <w:basedOn w:val="Normal"/>
    <w:autoRedefine/>
    <w:uiPriority w:val="99"/>
    <w:unhideWhenUsed/>
    <w:rsid w:val="00794638"/>
    <w:pPr>
      <w:ind w:left="284" w:hanging="284"/>
    </w:pPr>
  </w:style>
  <w:style w:type="paragraph" w:styleId="List3">
    <w:name w:val="List 3"/>
    <w:basedOn w:val="Normal"/>
    <w:uiPriority w:val="99"/>
    <w:semiHidden/>
    <w:unhideWhenUsed/>
    <w:rsid w:val="003F03C7"/>
    <w:pPr>
      <w:tabs>
        <w:tab w:val="left" w:pos="1701"/>
      </w:tabs>
      <w:ind w:left="1077" w:hanging="397"/>
      <w:contextualSpacing/>
    </w:pPr>
  </w:style>
  <w:style w:type="character" w:styleId="IntenseEmphasis">
    <w:name w:val="Intense Emphasis"/>
    <w:basedOn w:val="DefaultParagraphFont"/>
    <w:uiPriority w:val="21"/>
    <w:rsid w:val="00794638"/>
    <w:rPr>
      <w:rFonts w:ascii="Century Gothic" w:hAnsi="Century Gothic"/>
      <w:b/>
      <w:bCs/>
      <w:i/>
      <w:iCs/>
      <w:color w:val="000000" w:themeColor="text1"/>
      <w:sz w:val="22"/>
    </w:rPr>
  </w:style>
  <w:style w:type="paragraph" w:styleId="IntenseQuote">
    <w:name w:val="Intense Quote"/>
    <w:basedOn w:val="Normal"/>
    <w:next w:val="Normal"/>
    <w:link w:val="IntenseQuoteChar"/>
    <w:autoRedefine/>
    <w:uiPriority w:val="99"/>
    <w:rsid w:val="00794638"/>
    <w:pPr>
      <w:pBdr>
        <w:bottom w:val="single" w:sz="4" w:space="4" w:color="auto"/>
      </w:pBdr>
      <w:ind w:left="936" w:right="936"/>
    </w:pPr>
    <w:rPr>
      <w:b/>
      <w:bCs/>
      <w:i/>
      <w:iCs/>
    </w:rPr>
  </w:style>
  <w:style w:type="character" w:customStyle="1" w:styleId="IntenseQuoteChar">
    <w:name w:val="Intense Quote Char"/>
    <w:basedOn w:val="DefaultParagraphFont"/>
    <w:link w:val="IntenseQuote"/>
    <w:uiPriority w:val="99"/>
    <w:rsid w:val="00794638"/>
    <w:rPr>
      <w:rFonts w:ascii="Century Gothic" w:hAnsi="Century Gothic"/>
      <w:b/>
      <w:bCs/>
      <w:i/>
      <w:iCs/>
      <w:sz w:val="22"/>
      <w:szCs w:val="24"/>
    </w:rPr>
  </w:style>
  <w:style w:type="character" w:styleId="SubtleReference">
    <w:name w:val="Subtle Reference"/>
    <w:basedOn w:val="DefaultParagraphFont"/>
    <w:uiPriority w:val="31"/>
    <w:rsid w:val="00794638"/>
    <w:rPr>
      <w:rFonts w:ascii="Century Gothic" w:hAnsi="Century Gothic"/>
      <w:smallCaps/>
      <w:color w:val="000000" w:themeColor="text1"/>
      <w:u w:val="single"/>
      <w:bdr w:val="none" w:sz="0" w:space="0" w:color="auto"/>
    </w:rPr>
  </w:style>
  <w:style w:type="character" w:styleId="IntenseReference">
    <w:name w:val="Intense Reference"/>
    <w:basedOn w:val="DefaultParagraphFont"/>
    <w:uiPriority w:val="32"/>
    <w:rsid w:val="00794638"/>
    <w:rPr>
      <w:rFonts w:ascii="Century Gothic" w:hAnsi="Century Gothic"/>
      <w:b/>
      <w:bCs/>
      <w:smallCaps/>
      <w:color w:val="000000" w:themeColor="text1"/>
      <w:spacing w:val="5"/>
      <w:u w:val="single"/>
    </w:rPr>
  </w:style>
  <w:style w:type="paragraph" w:customStyle="1" w:styleId="LPLCTitle">
    <w:name w:val="LPLC Title"/>
    <w:basedOn w:val="Title"/>
    <w:autoRedefine/>
    <w:qFormat/>
    <w:rsid w:val="00D97362"/>
  </w:style>
  <w:style w:type="paragraph" w:customStyle="1" w:styleId="LPLCBodyText">
    <w:name w:val="LPLC Body Text"/>
    <w:basedOn w:val="BodyText"/>
    <w:link w:val="LPLCBodyTextChar"/>
    <w:autoRedefine/>
    <w:qFormat/>
    <w:rsid w:val="00BE2F6A"/>
  </w:style>
  <w:style w:type="paragraph" w:customStyle="1" w:styleId="LPLCHeading2">
    <w:name w:val="LPLC Heading 2"/>
    <w:basedOn w:val="Heading2"/>
    <w:autoRedefine/>
    <w:qFormat/>
    <w:rsid w:val="005039BB"/>
    <w:pPr>
      <w:keepNext w:val="0"/>
      <w:keepLines w:val="0"/>
    </w:pPr>
  </w:style>
  <w:style w:type="paragraph" w:customStyle="1" w:styleId="LPLCHeading1">
    <w:name w:val="LPLC Heading 1"/>
    <w:basedOn w:val="Heading1"/>
    <w:autoRedefine/>
    <w:qFormat/>
    <w:rsid w:val="005039BB"/>
  </w:style>
  <w:style w:type="paragraph" w:customStyle="1" w:styleId="LPLCHeading3">
    <w:name w:val="LPLC Heading 3"/>
    <w:basedOn w:val="Heading3"/>
    <w:autoRedefine/>
    <w:qFormat/>
    <w:rsid w:val="00AA7495"/>
    <w:pPr>
      <w:spacing w:line="240" w:lineRule="auto"/>
    </w:pPr>
    <w:rPr>
      <w:sz w:val="24"/>
    </w:rPr>
  </w:style>
  <w:style w:type="character" w:customStyle="1" w:styleId="Heading4Char">
    <w:name w:val="Heading 4 Char"/>
    <w:basedOn w:val="DefaultParagraphFont"/>
    <w:link w:val="Heading4"/>
    <w:uiPriority w:val="9"/>
    <w:rsid w:val="00D97362"/>
    <w:rPr>
      <w:rFonts w:ascii="Century Gothic" w:eastAsiaTheme="majorEastAsia" w:hAnsi="Century Gothic" w:cstheme="majorBidi"/>
      <w:b/>
      <w:bCs/>
      <w:i/>
      <w:iCs/>
      <w:color w:val="4D4883" w:themeColor="accent1"/>
      <w:sz w:val="22"/>
      <w:szCs w:val="24"/>
    </w:rPr>
  </w:style>
  <w:style w:type="paragraph" w:customStyle="1" w:styleId="LPLCHeading4">
    <w:name w:val="LPLC Heading 4"/>
    <w:basedOn w:val="Heading4"/>
    <w:autoRedefine/>
    <w:qFormat/>
    <w:rsid w:val="00AA7495"/>
    <w:pPr>
      <w:spacing w:line="240" w:lineRule="auto"/>
    </w:pPr>
    <w:rPr>
      <w:b w:val="0"/>
      <w:color w:val="auto"/>
    </w:rPr>
  </w:style>
  <w:style w:type="paragraph" w:customStyle="1" w:styleId="LPLCSecondLevelList">
    <w:name w:val="LPLC Second Level List"/>
    <w:basedOn w:val="Normal"/>
    <w:autoRedefine/>
    <w:qFormat/>
    <w:rsid w:val="00AA7495"/>
    <w:pPr>
      <w:numPr>
        <w:numId w:val="21"/>
      </w:numPr>
      <w:ind w:left="1134" w:hanging="567"/>
    </w:pPr>
  </w:style>
  <w:style w:type="paragraph" w:customStyle="1" w:styleId="LPLCSubtitle">
    <w:name w:val="LPLC Subtitle"/>
    <w:basedOn w:val="Subtitle"/>
    <w:autoRedefine/>
    <w:qFormat/>
    <w:rsid w:val="00AA7495"/>
    <w:pPr>
      <w:spacing w:line="240" w:lineRule="auto"/>
    </w:pPr>
  </w:style>
  <w:style w:type="paragraph" w:customStyle="1" w:styleId="LPLCFooter">
    <w:name w:val="LPLC Footer"/>
    <w:basedOn w:val="Footer"/>
    <w:autoRedefine/>
    <w:qFormat/>
    <w:rsid w:val="005039BB"/>
    <w:pPr>
      <w:tabs>
        <w:tab w:val="clear" w:pos="2552"/>
        <w:tab w:val="clear" w:pos="2722"/>
        <w:tab w:val="clear" w:pos="4820"/>
        <w:tab w:val="clear" w:pos="5103"/>
      </w:tabs>
      <w:spacing w:line="240" w:lineRule="auto"/>
      <w:ind w:right="-714"/>
    </w:pPr>
  </w:style>
  <w:style w:type="paragraph" w:customStyle="1" w:styleId="LPLCHeader">
    <w:name w:val="LPLC Header"/>
    <w:basedOn w:val="Header"/>
    <w:autoRedefine/>
    <w:qFormat/>
    <w:rsid w:val="005039BB"/>
  </w:style>
  <w:style w:type="paragraph" w:customStyle="1" w:styleId="LPLCThirdLevelList">
    <w:name w:val="LPLC Third Level List"/>
    <w:basedOn w:val="Normal"/>
    <w:autoRedefine/>
    <w:qFormat/>
    <w:rsid w:val="00D97362"/>
    <w:pPr>
      <w:numPr>
        <w:numId w:val="24"/>
      </w:numPr>
      <w:tabs>
        <w:tab w:val="left" w:pos="1080"/>
      </w:tabs>
      <w:ind w:left="1588" w:hanging="454"/>
    </w:pPr>
  </w:style>
  <w:style w:type="character" w:styleId="PlaceholderText">
    <w:name w:val="Placeholder Text"/>
    <w:basedOn w:val="DefaultParagraphFont"/>
    <w:uiPriority w:val="99"/>
    <w:semiHidden/>
    <w:rsid w:val="00250F05"/>
    <w:rPr>
      <w:color w:val="808080"/>
    </w:rPr>
  </w:style>
  <w:style w:type="paragraph" w:customStyle="1" w:styleId="LPLCBodyTextBold">
    <w:name w:val="LPLC Body Text Bold"/>
    <w:basedOn w:val="LPLCBodyText"/>
    <w:next w:val="LPLCBodyText"/>
    <w:link w:val="LPLCBodyTextBoldChar"/>
    <w:autoRedefine/>
    <w:qFormat/>
    <w:rsid w:val="00BE2F6A"/>
  </w:style>
  <w:style w:type="character" w:customStyle="1" w:styleId="LPLCBodyTextChar">
    <w:name w:val="LPLC Body Text Char"/>
    <w:basedOn w:val="BodyTextChar"/>
    <w:link w:val="LPLCBodyText"/>
    <w:rsid w:val="002522FA"/>
    <w:rPr>
      <w:rFonts w:ascii="Century Gothic" w:hAnsi="Century Gothic" w:cs="Gotham-Book"/>
      <w:color w:val="000000"/>
      <w:kern w:val="24"/>
      <w:sz w:val="20"/>
      <w:szCs w:val="22"/>
      <w:lang w:val="en-US"/>
    </w:rPr>
  </w:style>
  <w:style w:type="character" w:customStyle="1" w:styleId="LPLCBodyTextBoldChar">
    <w:name w:val="LPLC Body Text Bold Char"/>
    <w:basedOn w:val="LPLCBodyTextChar"/>
    <w:link w:val="LPLCBodyTextBold"/>
    <w:rsid w:val="005039BB"/>
    <w:rPr>
      <w:rFonts w:ascii="Century Gothic" w:hAnsi="Century Gothic" w:cs="Gotham-Book"/>
      <w:color w:val="000000"/>
      <w:kern w:val="24"/>
      <w:sz w:val="22"/>
      <w:szCs w:val="22"/>
      <w:lang w:val="en-US"/>
    </w:rPr>
  </w:style>
  <w:style w:type="numbering" w:customStyle="1" w:styleId="ListHeadings">
    <w:name w:val="List_Headings"/>
    <w:uiPriority w:val="99"/>
    <w:rsid w:val="006437BB"/>
    <w:pPr>
      <w:numPr>
        <w:numId w:val="26"/>
      </w:numPr>
    </w:pPr>
  </w:style>
  <w:style w:type="paragraph" w:customStyle="1" w:styleId="LPLCNumberedList2ndlevel">
    <w:name w:val="LPLC Numbered List 2nd level"/>
    <w:basedOn w:val="LPLCBodyText"/>
    <w:rsid w:val="002522FA"/>
    <w:pPr>
      <w:numPr>
        <w:ilvl w:val="1"/>
      </w:numPr>
    </w:pPr>
  </w:style>
  <w:style w:type="paragraph" w:customStyle="1" w:styleId="LPLCBodyTextindent">
    <w:name w:val="LPLC Body Text indent"/>
    <w:basedOn w:val="LPLCBodyText"/>
    <w:link w:val="LPLCBodyTextindentChar"/>
    <w:autoRedefine/>
    <w:qFormat/>
    <w:rsid w:val="005039BB"/>
    <w:pPr>
      <w:ind w:left="567"/>
    </w:pPr>
  </w:style>
  <w:style w:type="paragraph" w:styleId="BodyTextIndent2">
    <w:name w:val="Body Text Indent 2"/>
    <w:basedOn w:val="Normal"/>
    <w:link w:val="BodyTextIndent2Char"/>
    <w:uiPriority w:val="99"/>
    <w:semiHidden/>
    <w:unhideWhenUsed/>
    <w:rsid w:val="006437BB"/>
    <w:pPr>
      <w:spacing w:line="480" w:lineRule="auto"/>
      <w:ind w:left="360"/>
    </w:pPr>
  </w:style>
  <w:style w:type="character" w:customStyle="1" w:styleId="BodyTextIndent2Char">
    <w:name w:val="Body Text Indent 2 Char"/>
    <w:basedOn w:val="DefaultParagraphFont"/>
    <w:link w:val="BodyTextIndent2"/>
    <w:uiPriority w:val="99"/>
    <w:semiHidden/>
    <w:rsid w:val="006437BB"/>
    <w:rPr>
      <w:rFonts w:ascii="Gotham Book" w:hAnsi="Gotham Book"/>
      <w:color w:val="000000" w:themeColor="text1"/>
      <w:sz w:val="18"/>
      <w:szCs w:val="24"/>
    </w:rPr>
  </w:style>
  <w:style w:type="paragraph" w:customStyle="1" w:styleId="LPLCTableText">
    <w:name w:val="LPLC Table Text"/>
    <w:basedOn w:val="LPLCBodyText"/>
    <w:autoRedefine/>
    <w:qFormat/>
    <w:rsid w:val="00302F31"/>
    <w:pPr>
      <w:framePr w:wrap="around" w:vAnchor="text" w:hAnchor="text" w:y="1"/>
      <w:spacing w:before="40" w:after="40"/>
    </w:pPr>
    <w:rPr>
      <w:szCs w:val="20"/>
    </w:rPr>
  </w:style>
  <w:style w:type="character" w:customStyle="1" w:styleId="LPLCBodyTextindentChar">
    <w:name w:val="LPLC Body Text indent Char"/>
    <w:basedOn w:val="LPLCBodyTextChar"/>
    <w:link w:val="LPLCBodyTextindent"/>
    <w:rsid w:val="005039BB"/>
    <w:rPr>
      <w:rFonts w:ascii="Century Gothic" w:hAnsi="Century Gothic" w:cs="Gotham-Book"/>
      <w:color w:val="000000"/>
      <w:kern w:val="24"/>
      <w:sz w:val="22"/>
      <w:szCs w:val="22"/>
      <w:lang w:val="en-US"/>
    </w:rPr>
  </w:style>
  <w:style w:type="paragraph" w:customStyle="1" w:styleId="LPLCTableHeading">
    <w:name w:val="LPLC Table Heading"/>
    <w:basedOn w:val="LPLCHeading3"/>
    <w:autoRedefine/>
    <w:qFormat/>
    <w:rsid w:val="00586ECB"/>
    <w:pPr>
      <w:spacing w:before="80" w:after="80" w:line="276" w:lineRule="auto"/>
      <w:outlineLvl w:val="9"/>
    </w:pPr>
    <w:rPr>
      <w:color w:val="FFFFFF" w:themeColor="background1"/>
    </w:rPr>
  </w:style>
  <w:style w:type="table" w:customStyle="1" w:styleId="LPLCTableStyle">
    <w:name w:val="LPLC Table Style"/>
    <w:basedOn w:val="TableNormal"/>
    <w:uiPriority w:val="99"/>
    <w:qFormat/>
    <w:rsid w:val="00981D3A"/>
    <w:pPr>
      <w:spacing w:before="40" w:after="40"/>
      <w:ind w:right="57"/>
    </w:pPr>
    <w:tblPr>
      <w:tblBorders>
        <w:top w:val="single" w:sz="4" w:space="0" w:color="009EBA"/>
        <w:left w:val="single" w:sz="4" w:space="0" w:color="009EBA"/>
        <w:bottom w:val="single" w:sz="4" w:space="0" w:color="009EBA"/>
        <w:right w:val="single" w:sz="4" w:space="0" w:color="009EBA"/>
        <w:insideH w:val="single" w:sz="4" w:space="0" w:color="009EBA"/>
        <w:insideV w:val="single" w:sz="4" w:space="0" w:color="009EBA"/>
      </w:tblBorders>
      <w:tblCellMar>
        <w:left w:w="85" w:type="dxa"/>
        <w:right w:w="85" w:type="dxa"/>
      </w:tblCellMar>
    </w:tblPr>
    <w:tcPr>
      <w:shd w:val="clear" w:color="auto" w:fill="auto"/>
    </w:tcPr>
    <w:tblStylePr w:type="firstRow">
      <w:pPr>
        <w:wordWrap/>
        <w:spacing w:beforeLines="80" w:beforeAutospacing="0" w:afterLines="80" w:afterAutospacing="0"/>
      </w:pPr>
      <w:rPr>
        <w:rFonts w:ascii="Bauhaus 93" w:hAnsi="Bauhaus 93"/>
        <w:b/>
        <w:color w:val="FFFFFF" w:themeColor="background1"/>
        <w:sz w:val="20"/>
      </w:rPr>
      <w:tblPr/>
      <w:trPr>
        <w:tblHeader/>
      </w:trPr>
      <w:tcPr>
        <w:shd w:val="clear" w:color="auto" w:fill="009EBA"/>
      </w:tcPr>
    </w:tblStylePr>
    <w:tblStylePr w:type="lastRow">
      <w:rPr>
        <w:rFonts w:ascii="Bauhaus 93" w:hAnsi="Bauhaus 93"/>
      </w:rPr>
    </w:tblStylePr>
    <w:tblStylePr w:type="firstCol">
      <w:rPr>
        <w:rFonts w:ascii="Bauhaus 93" w:hAnsi="Bauhaus 93"/>
      </w:rPr>
    </w:tblStylePr>
    <w:tblStylePr w:type="lastCol">
      <w:rPr>
        <w:rFonts w:ascii="Bauhaus 93" w:hAnsi="Bauhaus 93"/>
      </w:rPr>
    </w:tblStylePr>
  </w:style>
  <w:style w:type="paragraph" w:customStyle="1" w:styleId="NumberedHeading1">
    <w:name w:val="Numbered Heading 1"/>
    <w:basedOn w:val="Heading1"/>
    <w:next w:val="BodyText"/>
    <w:autoRedefine/>
    <w:rsid w:val="00D97362"/>
    <w:pPr>
      <w:keepLines w:val="0"/>
      <w:pageBreakBefore/>
      <w:tabs>
        <w:tab w:val="num" w:pos="567"/>
      </w:tabs>
      <w:overflowPunct w:val="0"/>
      <w:autoSpaceDE w:val="0"/>
      <w:autoSpaceDN w:val="0"/>
      <w:adjustRightInd w:val="0"/>
      <w:ind w:left="567" w:hanging="567"/>
      <w:textAlignment w:val="baseline"/>
    </w:pPr>
    <w:rPr>
      <w:rFonts w:cs="Arial"/>
      <w:b/>
      <w:caps/>
      <w:sz w:val="22"/>
      <w:szCs w:val="20"/>
    </w:rPr>
  </w:style>
  <w:style w:type="paragraph" w:customStyle="1" w:styleId="NumberedHeading2">
    <w:name w:val="Numbered Heading 2"/>
    <w:basedOn w:val="Heading2"/>
    <w:autoRedefine/>
    <w:rsid w:val="00D97362"/>
    <w:pPr>
      <w:keepLines w:val="0"/>
      <w:tabs>
        <w:tab w:val="num" w:pos="1134"/>
      </w:tabs>
      <w:overflowPunct w:val="0"/>
      <w:autoSpaceDE w:val="0"/>
      <w:autoSpaceDN w:val="0"/>
      <w:adjustRightInd w:val="0"/>
      <w:ind w:left="1134" w:hanging="567"/>
      <w:textAlignment w:val="baseline"/>
    </w:pPr>
    <w:rPr>
      <w:rFonts w:cs="Arial"/>
      <w:b/>
      <w:kern w:val="28"/>
      <w:sz w:val="22"/>
    </w:rPr>
  </w:style>
  <w:style w:type="paragraph" w:customStyle="1" w:styleId="NumberedHeading3">
    <w:name w:val="Numbered Heading 3"/>
    <w:basedOn w:val="NumberedHeading2"/>
    <w:next w:val="BodyTextIndent2"/>
    <w:autoRedefine/>
    <w:rsid w:val="00D97362"/>
    <w:pPr>
      <w:tabs>
        <w:tab w:val="clear" w:pos="1134"/>
        <w:tab w:val="num" w:pos="1985"/>
      </w:tabs>
      <w:ind w:left="1985" w:hanging="851"/>
    </w:pPr>
  </w:style>
  <w:style w:type="paragraph" w:styleId="BodyTextIndent">
    <w:name w:val="Body Text Indent"/>
    <w:basedOn w:val="Normal"/>
    <w:link w:val="BodyTextIndentChar"/>
    <w:semiHidden/>
    <w:unhideWhenUsed/>
    <w:rsid w:val="00F322B3"/>
    <w:pPr>
      <w:ind w:left="360"/>
    </w:pPr>
  </w:style>
  <w:style w:type="character" w:customStyle="1" w:styleId="BodyTextIndentChar">
    <w:name w:val="Body Text Indent Char"/>
    <w:basedOn w:val="DefaultParagraphFont"/>
    <w:link w:val="BodyTextIndent"/>
    <w:semiHidden/>
    <w:rsid w:val="00F322B3"/>
    <w:rPr>
      <w:rFonts w:ascii="Gotham Book" w:hAnsi="Gotham Book"/>
      <w:color w:val="000000" w:themeColor="text1"/>
      <w:sz w:val="18"/>
      <w:szCs w:val="24"/>
    </w:rPr>
  </w:style>
  <w:style w:type="numbering" w:customStyle="1" w:styleId="LPLC">
    <w:name w:val="LPLC"/>
    <w:uiPriority w:val="99"/>
    <w:rsid w:val="000A504E"/>
    <w:pPr>
      <w:numPr>
        <w:numId w:val="29"/>
      </w:numPr>
    </w:pPr>
  </w:style>
  <w:style w:type="paragraph" w:customStyle="1" w:styleId="LPLCNumberedList">
    <w:name w:val="LPLC Numbered List"/>
    <w:basedOn w:val="LPLCBodyText"/>
    <w:rsid w:val="002522FA"/>
  </w:style>
  <w:style w:type="paragraph" w:styleId="NoSpacing">
    <w:name w:val="No Spacing"/>
    <w:uiPriority w:val="1"/>
    <w:rsid w:val="00D97362"/>
    <w:pPr>
      <w:spacing w:after="0"/>
    </w:pPr>
    <w:rPr>
      <w:szCs w:val="24"/>
    </w:rPr>
  </w:style>
  <w:style w:type="character" w:customStyle="1" w:styleId="Heading5Char">
    <w:name w:val="Heading 5 Char"/>
    <w:basedOn w:val="DefaultParagraphFont"/>
    <w:link w:val="Heading5"/>
    <w:uiPriority w:val="9"/>
    <w:semiHidden/>
    <w:rsid w:val="00D97362"/>
    <w:rPr>
      <w:rFonts w:ascii="Century Gothic" w:eastAsiaTheme="majorEastAsia" w:hAnsi="Century Gothic" w:cstheme="majorBidi"/>
      <w:color w:val="262441" w:themeColor="accent1" w:themeShade="7F"/>
      <w:sz w:val="22"/>
      <w:szCs w:val="24"/>
    </w:rPr>
  </w:style>
  <w:style w:type="character" w:styleId="SubtleEmphasis">
    <w:name w:val="Subtle Emphasis"/>
    <w:basedOn w:val="DefaultParagraphFont"/>
    <w:uiPriority w:val="19"/>
    <w:rsid w:val="00794638"/>
    <w:rPr>
      <w:rFonts w:ascii="Century Gothic" w:hAnsi="Century Gothic"/>
      <w:i/>
      <w:iCs/>
      <w:color w:val="808080" w:themeColor="text1" w:themeTint="7F"/>
    </w:rPr>
  </w:style>
  <w:style w:type="character" w:styleId="Emphasis">
    <w:name w:val="Emphasis"/>
    <w:basedOn w:val="DefaultParagraphFont"/>
    <w:uiPriority w:val="20"/>
    <w:rsid w:val="00794638"/>
    <w:rPr>
      <w:rFonts w:ascii="Century Gothic" w:hAnsi="Century Gothic"/>
      <w:i/>
      <w:iCs/>
      <w:sz w:val="22"/>
    </w:rPr>
  </w:style>
  <w:style w:type="character" w:styleId="Strong">
    <w:name w:val="Strong"/>
    <w:basedOn w:val="DefaultParagraphFont"/>
    <w:uiPriority w:val="22"/>
    <w:rsid w:val="00794638"/>
    <w:rPr>
      <w:rFonts w:ascii="Century Gothic" w:hAnsi="Century Gothic"/>
      <w:b/>
      <w:bCs/>
      <w:sz w:val="22"/>
    </w:rPr>
  </w:style>
  <w:style w:type="paragraph" w:styleId="Quote">
    <w:name w:val="Quote"/>
    <w:basedOn w:val="Normal"/>
    <w:next w:val="Normal"/>
    <w:link w:val="QuoteChar"/>
    <w:autoRedefine/>
    <w:uiPriority w:val="29"/>
    <w:rsid w:val="00794638"/>
    <w:rPr>
      <w:i/>
      <w:iCs/>
    </w:rPr>
  </w:style>
  <w:style w:type="character" w:customStyle="1" w:styleId="QuoteChar">
    <w:name w:val="Quote Char"/>
    <w:basedOn w:val="DefaultParagraphFont"/>
    <w:link w:val="Quote"/>
    <w:uiPriority w:val="29"/>
    <w:rsid w:val="00794638"/>
    <w:rPr>
      <w:rFonts w:ascii="Century Gothic" w:hAnsi="Century Gothic"/>
      <w:i/>
      <w:iCs/>
      <w:sz w:val="22"/>
      <w:szCs w:val="24"/>
    </w:rPr>
  </w:style>
  <w:style w:type="character" w:styleId="BookTitle">
    <w:name w:val="Book Title"/>
    <w:basedOn w:val="DefaultParagraphFont"/>
    <w:uiPriority w:val="33"/>
    <w:rsid w:val="00794638"/>
    <w:rPr>
      <w:rFonts w:ascii="Century Gothic" w:hAnsi="Century Gothic"/>
      <w:b/>
      <w:bCs/>
      <w:smallCaps/>
      <w:spacing w:val="5"/>
    </w:rPr>
  </w:style>
  <w:style w:type="paragraph" w:styleId="ListParagraph">
    <w:name w:val="List Paragraph"/>
    <w:basedOn w:val="Normal"/>
    <w:autoRedefine/>
    <w:uiPriority w:val="34"/>
    <w:rsid w:val="00794638"/>
    <w:pPr>
      <w:ind w:left="720"/>
    </w:pPr>
  </w:style>
  <w:style w:type="paragraph" w:styleId="TOC1">
    <w:name w:val="toc 1"/>
    <w:basedOn w:val="Normal"/>
    <w:next w:val="Normal"/>
    <w:link w:val="TOC1Char"/>
    <w:autoRedefine/>
    <w:uiPriority w:val="39"/>
    <w:unhideWhenUsed/>
    <w:qFormat/>
    <w:rsid w:val="00F63C51"/>
    <w:pPr>
      <w:tabs>
        <w:tab w:val="right" w:leader="dot" w:pos="8771"/>
      </w:tabs>
      <w:spacing w:after="100"/>
    </w:pPr>
    <w:rPr>
      <w:noProof/>
      <w:szCs w:val="40"/>
    </w:rPr>
  </w:style>
  <w:style w:type="character" w:customStyle="1" w:styleId="TOC1Char">
    <w:name w:val="TOC 1 Char"/>
    <w:basedOn w:val="DefaultParagraphFont"/>
    <w:link w:val="TOC1"/>
    <w:uiPriority w:val="39"/>
    <w:rsid w:val="00F63C51"/>
    <w:rPr>
      <w:rFonts w:ascii="Century Gothic" w:hAnsi="Century Gothic"/>
      <w:noProof/>
      <w:sz w:val="20"/>
      <w:szCs w:val="40"/>
    </w:rPr>
  </w:style>
  <w:style w:type="paragraph" w:customStyle="1" w:styleId="Style1">
    <w:name w:val="Style1"/>
    <w:basedOn w:val="Normal"/>
    <w:qFormat/>
    <w:rsid w:val="00302F31"/>
  </w:style>
  <w:style w:type="paragraph" w:customStyle="1" w:styleId="LPLCchecklistlevel1">
    <w:name w:val="LPLC checklist level 1"/>
    <w:basedOn w:val="Normal"/>
    <w:autoRedefine/>
    <w:rsid w:val="00770C33"/>
    <w:pPr>
      <w:widowControl w:val="0"/>
      <w:numPr>
        <w:numId w:val="42"/>
      </w:numPr>
      <w:autoSpaceDE w:val="0"/>
      <w:autoSpaceDN w:val="0"/>
      <w:adjustRightInd w:val="0"/>
      <w:ind w:left="397" w:hanging="397"/>
      <w:textAlignment w:val="center"/>
    </w:pPr>
    <w:rPr>
      <w:rFonts w:eastAsia="Times New Roman" w:cs="Gotham-Book"/>
      <w:color w:val="auto"/>
      <w:kern w:val="24"/>
      <w:szCs w:val="20"/>
      <w:lang w:val="en-US" w:eastAsia="en-AU"/>
    </w:rPr>
  </w:style>
  <w:style w:type="paragraph" w:customStyle="1" w:styleId="LPLCChecklistlevel2">
    <w:name w:val="LPLC Checklist level 2"/>
    <w:basedOn w:val="Normal"/>
    <w:qFormat/>
    <w:rsid w:val="00770C33"/>
    <w:pPr>
      <w:numPr>
        <w:numId w:val="43"/>
      </w:numPr>
    </w:pPr>
  </w:style>
  <w:style w:type="character" w:styleId="FollowedHyperlink">
    <w:name w:val="FollowedHyperlink"/>
    <w:basedOn w:val="DefaultParagraphFont"/>
    <w:uiPriority w:val="99"/>
    <w:semiHidden/>
    <w:unhideWhenUsed/>
    <w:rsid w:val="009E1896"/>
    <w:rPr>
      <w:color w:val="800080" w:themeColor="followedHyperlink"/>
      <w:u w:val="single"/>
    </w:rPr>
  </w:style>
  <w:style w:type="character" w:styleId="UnresolvedMention">
    <w:name w:val="Unresolved Mention"/>
    <w:basedOn w:val="DefaultParagraphFont"/>
    <w:uiPriority w:val="99"/>
    <w:semiHidden/>
    <w:unhideWhenUsed/>
    <w:rsid w:val="009E1896"/>
    <w:rPr>
      <w:color w:val="605E5C"/>
      <w:shd w:val="clear" w:color="auto" w:fill="E1DFDD"/>
    </w:rPr>
  </w:style>
  <w:style w:type="paragraph" w:styleId="Revision">
    <w:name w:val="Revision"/>
    <w:hidden/>
    <w:uiPriority w:val="99"/>
    <w:semiHidden/>
    <w:rsid w:val="00980B29"/>
    <w:pPr>
      <w:spacing w:after="0"/>
    </w:pPr>
  </w:style>
  <w:style w:type="character" w:styleId="CommentReference">
    <w:name w:val="annotation reference"/>
    <w:basedOn w:val="DefaultParagraphFont"/>
    <w:uiPriority w:val="99"/>
    <w:semiHidden/>
    <w:unhideWhenUsed/>
    <w:rsid w:val="00E854B1"/>
    <w:rPr>
      <w:sz w:val="16"/>
      <w:szCs w:val="16"/>
    </w:rPr>
  </w:style>
  <w:style w:type="paragraph" w:styleId="CommentText">
    <w:name w:val="annotation text"/>
    <w:basedOn w:val="Normal"/>
    <w:link w:val="CommentTextChar"/>
    <w:uiPriority w:val="99"/>
    <w:unhideWhenUsed/>
    <w:rsid w:val="00E854B1"/>
    <w:pPr>
      <w:spacing w:line="240" w:lineRule="auto"/>
    </w:pPr>
    <w:rPr>
      <w:sz w:val="20"/>
      <w:szCs w:val="20"/>
    </w:rPr>
  </w:style>
  <w:style w:type="character" w:customStyle="1" w:styleId="CommentTextChar">
    <w:name w:val="Comment Text Char"/>
    <w:basedOn w:val="DefaultParagraphFont"/>
    <w:link w:val="CommentText"/>
    <w:uiPriority w:val="99"/>
    <w:rsid w:val="00E854B1"/>
    <w:rPr>
      <w:sz w:val="20"/>
      <w:szCs w:val="20"/>
    </w:rPr>
  </w:style>
  <w:style w:type="paragraph" w:styleId="CommentSubject">
    <w:name w:val="annotation subject"/>
    <w:basedOn w:val="CommentText"/>
    <w:next w:val="CommentText"/>
    <w:link w:val="CommentSubjectChar"/>
    <w:uiPriority w:val="99"/>
    <w:semiHidden/>
    <w:unhideWhenUsed/>
    <w:rsid w:val="00E854B1"/>
    <w:rPr>
      <w:b/>
      <w:bCs/>
    </w:rPr>
  </w:style>
  <w:style w:type="character" w:customStyle="1" w:styleId="CommentSubjectChar">
    <w:name w:val="Comment Subject Char"/>
    <w:basedOn w:val="CommentTextChar"/>
    <w:link w:val="CommentSubject"/>
    <w:uiPriority w:val="99"/>
    <w:semiHidden/>
    <w:rsid w:val="00E854B1"/>
    <w:rPr>
      <w:b/>
      <w:bCs/>
      <w:sz w:val="20"/>
      <w:szCs w:val="20"/>
    </w:rPr>
  </w:style>
  <w:style w:type="character" w:styleId="Mention">
    <w:name w:val="Mention"/>
    <w:basedOn w:val="DefaultParagraphFont"/>
    <w:uiPriority w:val="99"/>
    <w:unhideWhenUsed/>
    <w:rsid w:val="00E854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075316">
      <w:bodyDiv w:val="1"/>
      <w:marLeft w:val="0"/>
      <w:marRight w:val="0"/>
      <w:marTop w:val="0"/>
      <w:marBottom w:val="0"/>
      <w:divBdr>
        <w:top w:val="none" w:sz="0" w:space="0" w:color="auto"/>
        <w:left w:val="none" w:sz="0" w:space="0" w:color="auto"/>
        <w:bottom w:val="none" w:sz="0" w:space="0" w:color="auto"/>
        <w:right w:val="none" w:sz="0" w:space="0" w:color="auto"/>
      </w:divBdr>
    </w:div>
    <w:div w:id="1689285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stlii.edu.au/au/legis/vic/consol_act/sola1962100/s32i.html" TargetMode="External"/><Relationship Id="rId18" Type="http://schemas.openxmlformats.org/officeDocument/2006/relationships/hyperlink" Target="http://www.austlii.edu.au/au/legis/vic/consol_act/sola1962100/s9ab.html" TargetMode="External"/><Relationship Id="rId26" Type="http://schemas.openxmlformats.org/officeDocument/2006/relationships/hyperlink" Target="http://www.austlii.edu.au/au/legis/vic/consol_act/ba199391/s137c.html" TargetMode="External"/><Relationship Id="rId39" Type="http://schemas.openxmlformats.org/officeDocument/2006/relationships/hyperlink" Target="https://seniorsrights.org.au/resources/info-sheets/care-for-your-assets/" TargetMode="External"/><Relationship Id="rId21" Type="http://schemas.openxmlformats.org/officeDocument/2006/relationships/hyperlink" Target="http://www.austlii.edu.au/au/legis/vic/consol_act/sola1962100/s9ae.html" TargetMode="External"/><Relationship Id="rId34" Type="http://schemas.openxmlformats.org/officeDocument/2006/relationships/hyperlink" Target="http://law.ato.gov.au/atolaw/view.htm?docid=GST/GSTR20025/NAT/ATO/00001" TargetMode="External"/><Relationship Id="rId42" Type="http://schemas.openxmlformats.org/officeDocument/2006/relationships/hyperlink" Target="http://www.austlii.edu.au/au/legis/vic/consol_act/sola1962100/s2.html"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austlii.edu.au/au/legis/vic/consol_act/sola1962100/s32h.html" TargetMode="External"/><Relationship Id="rId29" Type="http://schemas.openxmlformats.org/officeDocument/2006/relationships/hyperlink" Target="https://lplc.com.au/resources/lplc-article/acting-for-a-vendor-changes-to-owner-builder-insurance-from-1-july-20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ustlii.edu.au/au/legis/vic/consol_act/sola1962100/s32.html" TargetMode="External"/><Relationship Id="rId24" Type="http://schemas.openxmlformats.org/officeDocument/2006/relationships/hyperlink" Target="http://www.austlii.edu.au/au/legis/vic/consol_act/ba199391/s137c.html" TargetMode="External"/><Relationship Id="rId32" Type="http://schemas.openxmlformats.org/officeDocument/2006/relationships/hyperlink" Target="http://www.austlii.edu.au/au/legis/cth/consol_act/antsasta1999402/s38.325.html" TargetMode="External"/><Relationship Id="rId37" Type="http://schemas.openxmlformats.org/officeDocument/2006/relationships/hyperlink" Target="http://www.austlii.edu.au/au/legis/vic/consol_reg/sccpr2015433/index.html" TargetMode="External"/><Relationship Id="rId40" Type="http://schemas.openxmlformats.org/officeDocument/2006/relationships/hyperlink" Target="https://lplc.com.au/resources/checklists/checklist-for-advising-vendors-when-purchasers-default"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lplc.com.au/resources/lplc-article/include-water-information-certificates" TargetMode="External"/><Relationship Id="rId23" Type="http://schemas.openxmlformats.org/officeDocument/2006/relationships/hyperlink" Target="http://www.austlii.edu.au/au/legis/vic/consol_act/ba199391/s137b.html" TargetMode="External"/><Relationship Id="rId28" Type="http://schemas.openxmlformats.org/officeDocument/2006/relationships/hyperlink" Target="http://www.austlii.edu.au/au/legis/vic/consol_act/ba199391/s137c.html" TargetMode="External"/><Relationship Id="rId36" Type="http://schemas.openxmlformats.org/officeDocument/2006/relationships/hyperlink" Target="http://www.austlii.edu.au/au/legis/vic/consol_reg/sccpr2015433/s12.02.html" TargetMode="External"/><Relationship Id="rId10" Type="http://schemas.openxmlformats.org/officeDocument/2006/relationships/endnotes" Target="endnotes.xml"/><Relationship Id="rId19" Type="http://schemas.openxmlformats.org/officeDocument/2006/relationships/hyperlink" Target="http://www.austlii.edu.au/au/legis/vic/consol_act/sola1962100/s9ac.html" TargetMode="External"/><Relationship Id="rId31" Type="http://schemas.openxmlformats.org/officeDocument/2006/relationships/hyperlink" Target="http://www.austlii.edu.au/au/legis/cth/consol_act/antsasta1999402/s38.480.html"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plc.com.au/resources/checklists/sale-of-land-questions-vendor" TargetMode="External"/><Relationship Id="rId22" Type="http://schemas.openxmlformats.org/officeDocument/2006/relationships/hyperlink" Target="http://www.austlii.edu.au/au/legis/vic/consol_act/sola1962100/s11.html" TargetMode="External"/><Relationship Id="rId27" Type="http://schemas.openxmlformats.org/officeDocument/2006/relationships/hyperlink" Target="http://www.austlii.edu.au/au/legis/vic/consol_act/sola1962100/s32.html" TargetMode="External"/><Relationship Id="rId30" Type="http://schemas.openxmlformats.org/officeDocument/2006/relationships/hyperlink" Target="https://lplc.com.au/resources/webinars/owner-builders-and-the-section-32-how-the-law-changed-on-1-july" TargetMode="External"/><Relationship Id="rId35" Type="http://schemas.openxmlformats.org/officeDocument/2006/relationships/hyperlink" Target="https://lplc.com.au/checklists/key-risk-checklist-gst/"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lplc.com.au/resources/lplc-article/determining-the-right-diagram-location-document" TargetMode="External"/><Relationship Id="rId17" Type="http://schemas.openxmlformats.org/officeDocument/2006/relationships/hyperlink" Target="http://www.austlii.edu.au/au/legis/vic/consol_act/sola1962100/s9aa.html" TargetMode="External"/><Relationship Id="rId25" Type="http://schemas.openxmlformats.org/officeDocument/2006/relationships/hyperlink" Target="http://www.austlii.edu.au/au/legis/vic/consol_act/ba199391/s137b.html" TargetMode="External"/><Relationship Id="rId33" Type="http://schemas.openxmlformats.org/officeDocument/2006/relationships/hyperlink" Target="http://law.ato.gov.au/atolaw/view.htm?docid=GST/GSTR20025/NAT/ATO/00001" TargetMode="External"/><Relationship Id="rId38" Type="http://schemas.openxmlformats.org/officeDocument/2006/relationships/hyperlink" Target="https://lplc.com.au/policies-premiums/solicitor/policies/" TargetMode="External"/><Relationship Id="rId46" Type="http://schemas.openxmlformats.org/officeDocument/2006/relationships/fontTable" Target="fontTable.xml"/><Relationship Id="rId20" Type="http://schemas.openxmlformats.org/officeDocument/2006/relationships/hyperlink" Target="http://www.austlii.edu.au/au/legis/vic/consol_act/sola1962100/s9ae.html" TargetMode="External"/><Relationship Id="rId41" Type="http://schemas.openxmlformats.org/officeDocument/2006/relationships/hyperlink" Target="http://www.austlii.edu.au/au/legis/vic/consol_act/sola1962100/s3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groupTemplates\LPLC%20Templates\Admin\Blank%20Doc%20with%20logo.dotx" TargetMode="External"/></Relationships>
</file>

<file path=word/theme/theme1.xml><?xml version="1.0" encoding="utf-8"?>
<a:theme xmlns:a="http://schemas.openxmlformats.org/drawingml/2006/main" name="LPLC_ThemeColour_Master">
  <a:themeElements>
    <a:clrScheme name="New Brand Colours">
      <a:dk1>
        <a:srgbClr val="000000"/>
      </a:dk1>
      <a:lt1>
        <a:srgbClr val="FFFFFF"/>
      </a:lt1>
      <a:dk2>
        <a:srgbClr val="00B4CD"/>
      </a:dk2>
      <a:lt2>
        <a:srgbClr val="002B5E"/>
      </a:lt2>
      <a:accent1>
        <a:srgbClr val="4D4883"/>
      </a:accent1>
      <a:accent2>
        <a:srgbClr val="AD3A63"/>
      </a:accent2>
      <a:accent3>
        <a:srgbClr val="A6856E"/>
      </a:accent3>
      <a:accent4>
        <a:srgbClr val="FAA61A"/>
      </a:accent4>
      <a:accent5>
        <a:srgbClr val="96B74A"/>
      </a:accent5>
      <a:accent6>
        <a:srgbClr val="A7A9AC"/>
      </a:accent6>
      <a:hlink>
        <a:srgbClr val="183560"/>
      </a:hlink>
      <a:folHlink>
        <a:srgbClr val="800080"/>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D52A38C262D24394E6EA607DD7C96F" ma:contentTypeVersion="13" ma:contentTypeDescription="Create a new document." ma:contentTypeScope="" ma:versionID="71f2350d90ccba5d483ca4beca5d2556">
  <xsd:schema xmlns:xsd="http://www.w3.org/2001/XMLSchema" xmlns:xs="http://www.w3.org/2001/XMLSchema" xmlns:p="http://schemas.microsoft.com/office/2006/metadata/properties" xmlns:ns2="daa32af0-db39-4c95-aea3-df7a5f66fe51" xmlns:ns3="797ad8f5-d4c3-4547-9282-4b4e3ae32dd6" targetNamespace="http://schemas.microsoft.com/office/2006/metadata/properties" ma:root="true" ma:fieldsID="1bda9035f84de9c690ee639dcec67a42" ns2:_="" ns3:_="">
    <xsd:import namespace="daa32af0-db39-4c95-aea3-df7a5f66fe51"/>
    <xsd:import namespace="797ad8f5-d4c3-4547-9282-4b4e3ae32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32af0-db39-4c95-aea3-df7a5f66f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abf879-7c7c-47c3-8186-3f7fe74030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ad8f5-d4c3-4547-9282-4b4e3ae32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ef55be-03db-43db-a8bf-9ed4b98c75e7}" ma:internalName="TaxCatchAll" ma:showField="CatchAllData" ma:web="797ad8f5-d4c3-4547-9282-4b4e3ae32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97ad8f5-d4c3-4547-9282-4b4e3ae32dd6" xsi:nil="true"/>
    <lcf76f155ced4ddcb4097134ff3c332f xmlns="daa32af0-db39-4c95-aea3-df7a5f66fe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BCB949-F403-409A-BB9A-8BACA376B042}">
  <ds:schemaRefs>
    <ds:schemaRef ds:uri="http://schemas.microsoft.com/sharepoint/v3/contenttype/forms"/>
  </ds:schemaRefs>
</ds:datastoreItem>
</file>

<file path=customXml/itemProps2.xml><?xml version="1.0" encoding="utf-8"?>
<ds:datastoreItem xmlns:ds="http://schemas.openxmlformats.org/officeDocument/2006/customXml" ds:itemID="{6A067CB6-79DB-4941-B83E-7F80304EE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32af0-db39-4c95-aea3-df7a5f66fe51"/>
    <ds:schemaRef ds:uri="797ad8f5-d4c3-4547-9282-4b4e3ae32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FA31F-3A57-42D9-9992-3E4E6CA2EBFF}">
  <ds:schemaRefs>
    <ds:schemaRef ds:uri="http://schemas.openxmlformats.org/officeDocument/2006/bibliography"/>
  </ds:schemaRefs>
</ds:datastoreItem>
</file>

<file path=customXml/itemProps4.xml><?xml version="1.0" encoding="utf-8"?>
<ds:datastoreItem xmlns:ds="http://schemas.openxmlformats.org/officeDocument/2006/customXml" ds:itemID="{7761F640-8C07-4DB2-9B49-DF4AB6A86835}">
  <ds:schemaRefs>
    <ds:schemaRef ds:uri="http://schemas.microsoft.com/office/2006/metadata/properties"/>
    <ds:schemaRef ds:uri="http://schemas.microsoft.com/office/infopath/2007/PartnerControls"/>
    <ds:schemaRef ds:uri="797ad8f5-d4c3-4547-9282-4b4e3ae32dd6"/>
    <ds:schemaRef ds:uri="daa32af0-db39-4c95-aea3-df7a5f66fe51"/>
  </ds:schemaRefs>
</ds:datastoreItem>
</file>

<file path=docProps/app.xml><?xml version="1.0" encoding="utf-8"?>
<Properties xmlns="http://schemas.openxmlformats.org/officeDocument/2006/extended-properties" xmlns:vt="http://schemas.openxmlformats.org/officeDocument/2006/docPropsVTypes">
  <Template>Blank Doc with logo</Template>
  <TotalTime>0</TotalTime>
  <Pages>8</Pages>
  <Words>3199</Words>
  <Characters>15900</Characters>
  <Application>Microsoft Office Word</Application>
  <DocSecurity>0</DocSecurity>
  <PresentationFormat/>
  <Lines>722</Lines>
  <Paragraphs>434</Paragraphs>
  <ScaleCrop>false</ScaleCrop>
  <Company>MBd</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Vendor's practitioner checklist Mar 2021.docx</dc:title>
  <dc:subject>00029661:1</dc:subject>
  <dc:creator>Emily D'Elia</dc:creator>
  <cp:keywords/>
  <dc:description/>
  <cp:lastModifiedBy>Jamie McCallum</cp:lastModifiedBy>
  <cp:revision>2</cp:revision>
  <cp:lastPrinted>2026-07-20T01:20:00Z</cp:lastPrinted>
  <dcterms:created xsi:type="dcterms:W3CDTF">2026-07-28T06:56:00Z</dcterms:created>
  <dcterms:modified xsi:type="dcterms:W3CDTF">2026-07-28T06:56:00Z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989425-2741-4ac1-a27e-edc0876168d9_Enabled">
    <vt:lpwstr>true</vt:lpwstr>
  </property>
  <property fmtid="{D5CDD505-2E9C-101B-9397-08002B2CF9AE}" pid="3" name="MSIP_Label_2d989425-2741-4ac1-a27e-edc0876168d9_SetDate">
    <vt:lpwstr>2026-07-17T02:06:48Z</vt:lpwstr>
  </property>
  <property fmtid="{D5CDD505-2E9C-101B-9397-08002B2CF9AE}" pid="4" name="MSIP_Label_2d989425-2741-4ac1-a27e-edc0876168d9_Method">
    <vt:lpwstr>Privileged</vt:lpwstr>
  </property>
  <property fmtid="{D5CDD505-2E9C-101B-9397-08002B2CF9AE}" pid="5" name="MSIP_Label_2d989425-2741-4ac1-a27e-edc0876168d9_Name">
    <vt:lpwstr>Unclassified</vt:lpwstr>
  </property>
  <property fmtid="{D5CDD505-2E9C-101B-9397-08002B2CF9AE}" pid="6" name="MSIP_Label_2d989425-2741-4ac1-a27e-edc0876168d9_SiteId">
    <vt:lpwstr>8893c732-7358-4693-a03d-3935d788c477</vt:lpwstr>
  </property>
  <property fmtid="{D5CDD505-2E9C-101B-9397-08002B2CF9AE}" pid="7" name="MSIP_Label_2d989425-2741-4ac1-a27e-edc0876168d9_ActionId">
    <vt:lpwstr>36ffc680-0891-407b-a374-62b7be23668b</vt:lpwstr>
  </property>
  <property fmtid="{D5CDD505-2E9C-101B-9397-08002B2CF9AE}" pid="8" name="MSIP_Label_2d989425-2741-4ac1-a27e-edc0876168d9_ContentBits">
    <vt:lpwstr>0</vt:lpwstr>
  </property>
  <property fmtid="{D5CDD505-2E9C-101B-9397-08002B2CF9AE}" pid="9" name="MSIP_Label_2d989425-2741-4ac1-a27e-edc0876168d9_Tag">
    <vt:lpwstr>10, 0, 1, 1</vt:lpwstr>
  </property>
  <property fmtid="{D5CDD505-2E9C-101B-9397-08002B2CF9AE}" pid="10" name="ContentTypeId">
    <vt:lpwstr>0x0101000DD52A38C262D24394E6EA607DD7C96F</vt:lpwstr>
  </property>
  <property fmtid="{D5CDD505-2E9C-101B-9397-08002B2CF9AE}" pid="11" name="MediaServiceImageTags">
    <vt:lpwstr/>
  </property>
</Properties>
</file>